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3DCAB" w14:textId="77777777" w:rsidR="00BE4329" w:rsidRPr="00775EB9" w:rsidRDefault="004E389D" w:rsidP="00F64489">
      <w:pPr>
        <w:pStyle w:val="Heading1"/>
        <w:rPr>
          <w:lang w:val="fr-FR"/>
        </w:rPr>
      </w:pPr>
      <w:bookmarkStart w:id="0" w:name="_Ref358291343"/>
      <w:bookmarkStart w:id="1" w:name="_Ref358632470"/>
      <w:bookmarkStart w:id="2" w:name="_Ref358967577"/>
      <w:r w:rsidRPr="00775EB9">
        <w:rPr>
          <w:lang w:val="fr-FR"/>
        </w:rPr>
        <w:t>Tutorie</w:t>
      </w:r>
      <w:r w:rsidR="00B35265" w:rsidRPr="00775EB9">
        <w:rPr>
          <w:lang w:val="fr-FR"/>
        </w:rPr>
        <w:t>l</w:t>
      </w:r>
      <w:r w:rsidR="00082F0B" w:rsidRPr="00775EB9">
        <w:rPr>
          <w:lang w:val="fr-FR"/>
        </w:rPr>
        <w:t xml:space="preserve"> </w:t>
      </w:r>
      <w:r w:rsidR="00602AAD" w:rsidRPr="00775EB9">
        <w:rPr>
          <w:lang w:val="fr-FR"/>
        </w:rPr>
        <w:t>–</w:t>
      </w:r>
      <w:r w:rsidR="00082F0B" w:rsidRPr="00775EB9">
        <w:rPr>
          <w:lang w:val="fr-FR"/>
        </w:rPr>
        <w:t xml:space="preserve"> </w:t>
      </w:r>
      <w:bookmarkEnd w:id="0"/>
      <w:bookmarkEnd w:id="1"/>
      <w:r w:rsidR="004027F2" w:rsidRPr="00775EB9">
        <w:rPr>
          <w:lang w:val="fr-FR"/>
        </w:rPr>
        <w:t>Techniques de mesure</w:t>
      </w:r>
      <w:bookmarkEnd w:id="2"/>
      <w:r w:rsidR="00A30D9E" w:rsidRPr="00775EB9">
        <w:rPr>
          <w:lang w:val="fr-FR"/>
        </w:rPr>
        <w:t xml:space="preserve"> </w:t>
      </w:r>
    </w:p>
    <w:p w14:paraId="29A3DCAC" w14:textId="77777777" w:rsidR="00130850" w:rsidRDefault="00130850" w:rsidP="00130850">
      <w:pPr>
        <w:rPr>
          <w:lang w:val="fr-FR"/>
        </w:rPr>
      </w:pPr>
      <w:r w:rsidRPr="00775EB9">
        <w:rPr>
          <w:lang w:val="fr-FR"/>
        </w:rPr>
        <w:t>Les expériences en laboratoire nécessitent la prise de mesures qui varient selon le genre d’expérience. Certaines techniques de mesures de base sont communes à plusieurs expériences. Les notes qui suivent sont un guide pratique pour l’usage approprié d’instruments simples ainsi qu’une introduction aux bonnes techniques de mesures.</w:t>
      </w:r>
    </w:p>
    <w:p w14:paraId="29A3DCAD" w14:textId="77777777" w:rsidR="0096565A" w:rsidRDefault="0096565A" w:rsidP="00130850">
      <w:pPr>
        <w:rPr>
          <w:lang w:val="fr-FR"/>
        </w:rPr>
      </w:pPr>
    </w:p>
    <w:p w14:paraId="29A3DCAE" w14:textId="77777777" w:rsidR="0096565A" w:rsidRPr="00775EB9" w:rsidRDefault="0096565A" w:rsidP="0096565A">
      <w:pPr>
        <w:pStyle w:val="Heading2"/>
        <w:rPr>
          <w:lang w:val="fr-FR"/>
        </w:rPr>
      </w:pPr>
      <w:r w:rsidRPr="00775EB9">
        <w:rPr>
          <w:lang w:val="fr-FR"/>
        </w:rPr>
        <w:t>Mesure de la masse</w:t>
      </w:r>
    </w:p>
    <w:p w14:paraId="29A3DCAF" w14:textId="77777777" w:rsidR="0096565A" w:rsidRPr="00775EB9" w:rsidRDefault="0096565A" w:rsidP="0096565A">
      <w:pPr>
        <w:rPr>
          <w:lang w:val="fr-FR"/>
        </w:rPr>
      </w:pPr>
      <w:r w:rsidRPr="00775EB9">
        <w:rPr>
          <w:lang w:val="fr-FR"/>
        </w:rPr>
        <w:t xml:space="preserve">Nous utilisons les balances électroniques précise à </w:t>
      </w:r>
      <m:oMath>
        <m:r>
          <w:rPr>
            <w:rFonts w:ascii="Cambria Math" w:hAnsi="Cambria Math"/>
            <w:lang w:val="fr-FR"/>
          </w:rPr>
          <m:t>±1</m:t>
        </m:r>
      </m:oMath>
      <w:r w:rsidRPr="00775EB9">
        <w:rPr>
          <w:rFonts w:eastAsiaTheme="minorEastAsia"/>
          <w:lang w:val="fr-FR"/>
        </w:rPr>
        <w:t xml:space="preserve"> sur le dernier chiffre affiché (</w:t>
      </w:r>
      <m:oMath>
        <m:r>
          <w:rPr>
            <w:rFonts w:ascii="Cambria Math" w:eastAsiaTheme="minorEastAsia" w:hAnsi="Cambria Math"/>
            <w:lang w:val="fr-FR"/>
          </w:rPr>
          <m:t>±0.1</m:t>
        </m:r>
      </m:oMath>
      <w:r w:rsidRPr="00775EB9">
        <w:rPr>
          <w:rFonts w:eastAsiaTheme="minorEastAsia"/>
          <w:lang w:val="fr-FR"/>
        </w:rPr>
        <w:t xml:space="preserve">g). Assurez-vous de mettre la balance au niveau et de faire la mise à zéro avant de les utiliser. </w:t>
      </w:r>
    </w:p>
    <w:p w14:paraId="29A3DCB0" w14:textId="77777777" w:rsidR="0096565A" w:rsidRPr="00775EB9" w:rsidRDefault="0096565A" w:rsidP="0096565A">
      <w:pPr>
        <w:rPr>
          <w:lang w:val="fr-FR"/>
        </w:rPr>
      </w:pPr>
    </w:p>
    <w:p w14:paraId="29A3DCB1" w14:textId="77777777" w:rsidR="0096565A" w:rsidRPr="00775EB9" w:rsidRDefault="0096565A" w:rsidP="0096565A">
      <w:pPr>
        <w:pStyle w:val="Heading2"/>
        <w:rPr>
          <w:lang w:val="fr-FR"/>
        </w:rPr>
      </w:pPr>
      <w:r w:rsidRPr="00775EB9">
        <w:rPr>
          <w:lang w:val="fr-FR"/>
        </w:rPr>
        <w:t>Mesure du temps</w:t>
      </w:r>
    </w:p>
    <w:p w14:paraId="29A3DCB2" w14:textId="77777777" w:rsidR="0096565A" w:rsidRPr="00775EB9" w:rsidRDefault="0096565A" w:rsidP="0096565A">
      <w:pPr>
        <w:rPr>
          <w:lang w:val="fr-FR"/>
        </w:rPr>
      </w:pPr>
      <w:r w:rsidRPr="00775EB9">
        <w:rPr>
          <w:lang w:val="fr-FR"/>
        </w:rPr>
        <w:t xml:space="preserve">Les mesures de temps sont effectuées avec un chronomètre électronique précis au 1/100 de seconde. On doit ajouter une incertitude de 0,2 à 0,5 seconde pour tout intervalle de temps chronométré à cause du temps de réaction de l’expérimentateur. Pour diminuer l’incertitude sur une période d’oscillation, on mesurera plusieurs périodes (e.g, mesurer le temps de 100 périodes au lieu de 1 période).  </w:t>
      </w:r>
    </w:p>
    <w:p w14:paraId="29A3DCB3" w14:textId="77777777" w:rsidR="0096565A" w:rsidRPr="00775EB9" w:rsidRDefault="0096565A" w:rsidP="0096565A">
      <w:pPr>
        <w:pStyle w:val="Heading3"/>
        <w:rPr>
          <w:lang w:val="fr-FR"/>
        </w:rPr>
      </w:pPr>
      <w:r w:rsidRPr="00775EB9">
        <w:rPr>
          <w:lang w:val="fr-FR"/>
        </w:rPr>
        <w:t>Exemple: Période d’oscillation d’un système masse-ressort</w:t>
      </w:r>
    </w:p>
    <w:p w14:paraId="29A3DCB4" w14:textId="77777777" w:rsidR="0096565A" w:rsidRPr="00775EB9" w:rsidRDefault="0096565A" w:rsidP="0096565A">
      <w:pPr>
        <w:pStyle w:val="ListParagraph"/>
        <w:numPr>
          <w:ilvl w:val="0"/>
          <w:numId w:val="25"/>
        </w:numPr>
        <w:jc w:val="left"/>
        <w:rPr>
          <w:lang w:val="fr-FR"/>
        </w:rPr>
      </w:pPr>
      <w:r w:rsidRPr="00775EB9">
        <w:rPr>
          <w:lang w:val="fr-FR"/>
        </w:rPr>
        <w:t>Prendre un point de repère pour le chronométrage, point que le système oscillant traversera à l’aller, au retour, puis de nouveau à l’aller pour compter une oscillation complète.</w:t>
      </w:r>
    </w:p>
    <w:p w14:paraId="29A3DCB5" w14:textId="77777777" w:rsidR="0096565A" w:rsidRPr="00775EB9" w:rsidRDefault="0096565A" w:rsidP="0096565A">
      <w:pPr>
        <w:pStyle w:val="ListParagraph"/>
        <w:numPr>
          <w:ilvl w:val="0"/>
          <w:numId w:val="25"/>
        </w:numPr>
        <w:jc w:val="left"/>
        <w:rPr>
          <w:lang w:val="fr-FR"/>
        </w:rPr>
      </w:pPr>
      <w:r w:rsidRPr="00775EB9">
        <w:rPr>
          <w:lang w:val="fr-FR"/>
        </w:rPr>
        <w:t>Ne pas prendre les extrémités d’une oscillation comme points de repère, car l’amplitude diminue avec le temps.</w:t>
      </w:r>
    </w:p>
    <w:p w14:paraId="29A3DCB6" w14:textId="77777777" w:rsidR="0096565A" w:rsidRPr="00775EB9" w:rsidRDefault="0096565A" w:rsidP="0096565A">
      <w:pPr>
        <w:pStyle w:val="ListParagraph"/>
        <w:numPr>
          <w:ilvl w:val="0"/>
          <w:numId w:val="25"/>
        </w:numPr>
        <w:jc w:val="left"/>
        <w:rPr>
          <w:lang w:val="fr-FR"/>
        </w:rPr>
      </w:pPr>
      <w:r w:rsidRPr="00775EB9">
        <w:rPr>
          <w:lang w:val="fr-FR"/>
        </w:rPr>
        <w:t>Le nombre total d’oscillations à mesurer dépend de la précision requise.</w:t>
      </w:r>
    </w:p>
    <w:p w14:paraId="29A3DCB7" w14:textId="77777777" w:rsidR="0096565A" w:rsidRPr="00775EB9" w:rsidRDefault="0096565A" w:rsidP="0096565A">
      <w:pPr>
        <w:pStyle w:val="ListParagraph"/>
        <w:numPr>
          <w:ilvl w:val="0"/>
          <w:numId w:val="25"/>
        </w:numPr>
        <w:jc w:val="left"/>
        <w:rPr>
          <w:lang w:val="fr-FR"/>
        </w:rPr>
      </w:pPr>
      <w:r w:rsidRPr="00775EB9">
        <w:rPr>
          <w:lang w:val="fr-FR"/>
        </w:rPr>
        <w:t>Vous devriez faire au moins deux mesures indépendantes afin de vérifier si elles concordent.</w:t>
      </w:r>
    </w:p>
    <w:p w14:paraId="29A3DCB8" w14:textId="77777777" w:rsidR="0096565A" w:rsidRDefault="0096565A" w:rsidP="0096565A">
      <w:pPr>
        <w:pStyle w:val="ListParagraph"/>
        <w:numPr>
          <w:ilvl w:val="0"/>
          <w:numId w:val="25"/>
        </w:numPr>
        <w:jc w:val="left"/>
        <w:rPr>
          <w:lang w:val="fr-FR"/>
        </w:rPr>
      </w:pPr>
      <w:r w:rsidRPr="00775EB9">
        <w:rPr>
          <w:lang w:val="fr-FR"/>
        </w:rPr>
        <w:t>Avant de démarrer le chronomètre, ajustez-vous au rythme de l’oscillation.</w:t>
      </w:r>
    </w:p>
    <w:p w14:paraId="29A3DCB9" w14:textId="77777777" w:rsidR="0096565A" w:rsidRPr="0096565A" w:rsidRDefault="0096565A" w:rsidP="0096565A">
      <w:pPr>
        <w:pStyle w:val="ListParagraph"/>
        <w:numPr>
          <w:ilvl w:val="0"/>
          <w:numId w:val="25"/>
        </w:numPr>
        <w:jc w:val="left"/>
        <w:rPr>
          <w:lang w:val="fr-FR"/>
        </w:rPr>
      </w:pPr>
      <w:r w:rsidRPr="0096565A">
        <w:rPr>
          <w:lang w:val="fr-FR"/>
        </w:rPr>
        <w:t>Lorsque vous commencez à compter, le compte est à zéro, car aucune oscillation n’est encore complétée.</w:t>
      </w:r>
      <w:r>
        <w:rPr>
          <w:lang w:val="fr-FR"/>
        </w:rPr>
        <w:br/>
      </w:r>
    </w:p>
    <w:p w14:paraId="29A3DCBA" w14:textId="77777777" w:rsidR="00130850" w:rsidRPr="00775EB9" w:rsidRDefault="00130850" w:rsidP="00526597">
      <w:pPr>
        <w:pStyle w:val="Heading2"/>
        <w:rPr>
          <w:lang w:val="fr-FR"/>
        </w:rPr>
      </w:pPr>
      <w:r w:rsidRPr="00775EB9">
        <w:rPr>
          <w:lang w:val="fr-FR"/>
        </w:rPr>
        <w:t>Lecture d’une échelle</w:t>
      </w:r>
    </w:p>
    <w:p w14:paraId="29A3DCBB" w14:textId="77777777" w:rsidR="00775EB9" w:rsidRPr="00775EB9" w:rsidRDefault="00775EB9" w:rsidP="00775EB9">
      <w:pPr>
        <w:pStyle w:val="Heading3"/>
        <w:rPr>
          <w:lang w:val="fr-FR"/>
        </w:rPr>
      </w:pPr>
      <w:r w:rsidRPr="00775EB9">
        <w:rPr>
          <w:lang w:val="fr-FR"/>
        </w:rPr>
        <w:t>La règle générale</w:t>
      </w:r>
    </w:p>
    <w:p w14:paraId="29A3DCBC" w14:textId="77777777" w:rsidR="00775EB9" w:rsidRPr="00775EB9" w:rsidRDefault="00775EB9" w:rsidP="00775EB9">
      <w:pPr>
        <w:rPr>
          <w:lang w:val="fr-FR"/>
        </w:rPr>
      </w:pPr>
      <w:r w:rsidRPr="00775EB9">
        <w:rPr>
          <w:lang w:val="fr-FR"/>
        </w:rPr>
        <w:t xml:space="preserve">Lors de la lecture d’une valeur sur une échelle (mesurer une position le long d’une règle ou un volume à l’aide d’un </w:t>
      </w:r>
      <w:r>
        <w:rPr>
          <w:lang w:val="fr-FR"/>
        </w:rPr>
        <w:t>cylind</w:t>
      </w:r>
      <w:r w:rsidRPr="00775EB9">
        <w:rPr>
          <w:lang w:val="fr-FR"/>
        </w:rPr>
        <w:t>r</w:t>
      </w:r>
      <w:r>
        <w:rPr>
          <w:lang w:val="fr-FR"/>
        </w:rPr>
        <w:t>e</w:t>
      </w:r>
      <w:r w:rsidRPr="00775EB9">
        <w:rPr>
          <w:lang w:val="fr-FR"/>
        </w:rPr>
        <w:t xml:space="preserve"> gradué), </w:t>
      </w:r>
      <w:r>
        <w:rPr>
          <w:lang w:val="fr-FR"/>
        </w:rPr>
        <w:t xml:space="preserve">la lecture correspond à la division la plus rapprochée et l’erreur de lecture est donnée par la moitié de la plus petite division de l’échelle. </w:t>
      </w:r>
      <w:r w:rsidRPr="00775EB9">
        <w:rPr>
          <w:lang w:val="fr-FR"/>
        </w:rPr>
        <w:t xml:space="preserve">  </w:t>
      </w:r>
    </w:p>
    <w:p w14:paraId="29A3DCBD" w14:textId="77777777" w:rsidR="00775EB9" w:rsidRPr="00775EB9" w:rsidRDefault="00775EB9" w:rsidP="00775EB9">
      <w:pPr>
        <w:pStyle w:val="Heading3"/>
        <w:rPr>
          <w:lang w:val="fr-FR"/>
        </w:rPr>
      </w:pPr>
      <w:r w:rsidRPr="00775EB9">
        <w:rPr>
          <w:lang w:val="fr-FR"/>
        </w:rPr>
        <w:t>Les exceptions</w:t>
      </w:r>
    </w:p>
    <w:p w14:paraId="29A3DCBE" w14:textId="77777777" w:rsidR="00775EB9" w:rsidRPr="00EB3E50" w:rsidRDefault="00775EB9" w:rsidP="00775EB9">
      <w:pPr>
        <w:rPr>
          <w:lang w:val="fr-FR"/>
        </w:rPr>
      </w:pPr>
      <w:r w:rsidRPr="00EB3E50">
        <w:rPr>
          <w:lang w:val="fr-FR"/>
        </w:rPr>
        <w:t>Il y a deux exceptions à la règle générale mentionnée plus haut:</w:t>
      </w:r>
    </w:p>
    <w:p w14:paraId="29A3DCBF" w14:textId="77777777" w:rsidR="00775EB9" w:rsidRPr="00EB3E50" w:rsidRDefault="00EB3E50" w:rsidP="00775EB9">
      <w:pPr>
        <w:pStyle w:val="ListParagraph"/>
        <w:numPr>
          <w:ilvl w:val="0"/>
          <w:numId w:val="26"/>
        </w:numPr>
        <w:rPr>
          <w:lang w:val="fr-FR"/>
        </w:rPr>
      </w:pPr>
      <w:r w:rsidRPr="00EB3E50">
        <w:rPr>
          <w:lang w:val="fr-FR"/>
        </w:rPr>
        <w:t>Si l’espace entre les divisions de l’échelle est trop petit</w:t>
      </w:r>
      <w:r w:rsidR="00775EB9" w:rsidRPr="00EB3E50">
        <w:rPr>
          <w:lang w:val="fr-FR"/>
        </w:rPr>
        <w:t xml:space="preserve">, </w:t>
      </w:r>
      <w:r w:rsidRPr="00EB3E50">
        <w:rPr>
          <w:lang w:val="fr-FR"/>
        </w:rPr>
        <w:t xml:space="preserve">l’erreur sur la lecture peut alors </w:t>
      </w:r>
      <w:r>
        <w:rPr>
          <w:lang w:val="fr-FR"/>
        </w:rPr>
        <w:t>être augmentée à la plus petite division</w:t>
      </w:r>
      <w:r w:rsidR="00775EB9" w:rsidRPr="00EB3E50">
        <w:rPr>
          <w:lang w:val="fr-FR"/>
        </w:rPr>
        <w:t>.</w:t>
      </w:r>
    </w:p>
    <w:p w14:paraId="29A3DCC0" w14:textId="77777777" w:rsidR="00792A97" w:rsidRPr="00792A97" w:rsidRDefault="00EB3E50" w:rsidP="00792A97">
      <w:pPr>
        <w:pStyle w:val="ListParagraph"/>
        <w:numPr>
          <w:ilvl w:val="0"/>
          <w:numId w:val="26"/>
        </w:numPr>
        <w:rPr>
          <w:lang w:val="fr-FR"/>
        </w:rPr>
      </w:pPr>
      <w:r w:rsidRPr="00EB3E50">
        <w:rPr>
          <w:lang w:val="fr-FR"/>
        </w:rPr>
        <w:t>Si l’espace entre les divisions de l’</w:t>
      </w:r>
      <w:r>
        <w:rPr>
          <w:lang w:val="fr-FR"/>
        </w:rPr>
        <w:t>échelle est grand,</w:t>
      </w:r>
      <w:r w:rsidR="00775EB9" w:rsidRPr="00775EB9">
        <w:rPr>
          <w:lang w:val="fr-FR"/>
        </w:rPr>
        <w:t xml:space="preserve"> </w:t>
      </w:r>
      <w:r>
        <w:rPr>
          <w:lang w:val="fr-FR"/>
        </w:rPr>
        <w:t>la position de la lecture et son incertitude peuvent alors être estimées à des valeurs plus raisonnables</w:t>
      </w:r>
      <w:r w:rsidR="00775EB9" w:rsidRPr="00775EB9">
        <w:rPr>
          <w:lang w:val="fr-FR"/>
        </w:rPr>
        <w:t>.</w:t>
      </w:r>
      <w:r>
        <w:rPr>
          <w:lang w:val="fr-FR"/>
        </w:rPr>
        <w:t xml:space="preserve"> </w:t>
      </w:r>
    </w:p>
    <w:p w14:paraId="29A3DCC1" w14:textId="77777777" w:rsidR="00074BEC" w:rsidRPr="00792A97" w:rsidRDefault="00792A97" w:rsidP="00792A97">
      <w:pPr>
        <w:pStyle w:val="Heading3"/>
      </w:pPr>
      <w:r>
        <w:lastRenderedPageBreak/>
        <w:t>Exemples </w:t>
      </w:r>
      <w:r w:rsidR="00775EB9" w:rsidRPr="00792A97">
        <w:tab/>
        <w:t xml:space="preserve">   </w:t>
      </w:r>
    </w:p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5159"/>
      </w:tblGrid>
      <w:tr w:rsidR="00074BEC" w:rsidRPr="00346B32" w14:paraId="29A3DCC4" w14:textId="77777777" w:rsidTr="00E974D8">
        <w:trPr>
          <w:trHeight w:val="1417"/>
        </w:trPr>
        <w:tc>
          <w:tcPr>
            <w:tcW w:w="4309" w:type="dxa"/>
          </w:tcPr>
          <w:p w14:paraId="29A3DCC2" w14:textId="77777777" w:rsidR="00074BEC" w:rsidRDefault="00074BEC" w:rsidP="00E974D8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9A3DCEF" wp14:editId="29A3DCF0">
                  <wp:extent cx="2473200" cy="705600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ading a scale - gen rul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200" cy="70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9" w:type="dxa"/>
          </w:tcPr>
          <w:p w14:paraId="29A3DCC3" w14:textId="77777777" w:rsidR="00074BEC" w:rsidRPr="00042754" w:rsidRDefault="00074BEC" w:rsidP="00074BEC">
            <w:pPr>
              <w:jc w:val="left"/>
              <w:rPr>
                <w:rFonts w:eastAsiaTheme="minorEastAsia"/>
                <w:lang w:val="fr-FR"/>
              </w:rPr>
            </w:pPr>
            <w:r w:rsidRPr="00074BEC">
              <w:rPr>
                <w:b/>
                <w:lang w:val="fr-FR"/>
              </w:rPr>
              <w:t>La règle générale:</w:t>
            </w:r>
            <w:r w:rsidRPr="00074BEC">
              <w:rPr>
                <w:lang w:val="fr-FR"/>
              </w:rPr>
              <w:t xml:space="preserve"> la position indiquée par la fl</w:t>
            </w:r>
            <w:r>
              <w:rPr>
                <w:lang w:val="fr-FR"/>
              </w:rPr>
              <w:t>èche se situe entre</w:t>
            </w:r>
            <w:r w:rsidRPr="00074BEC">
              <w:rPr>
                <w:lang w:val="fr-FR"/>
              </w:rPr>
              <w:t xml:space="preserve"> 2.6 cm </w:t>
            </w:r>
            <w:r>
              <w:rPr>
                <w:lang w:val="fr-FR"/>
              </w:rPr>
              <w:t>et</w:t>
            </w:r>
            <w:r w:rsidRPr="00074BEC">
              <w:rPr>
                <w:lang w:val="fr-FR"/>
              </w:rPr>
              <w:t xml:space="preserve"> 2.7 cm. </w:t>
            </w:r>
            <w:r w:rsidRPr="00042754">
              <w:rPr>
                <w:lang w:val="fr-FR"/>
              </w:rPr>
              <w:t xml:space="preserve">Elle est plus près de 2.6 cm alors la lecture finale est </w:t>
            </w:r>
            <m:oMath>
              <m:r>
                <w:rPr>
                  <w:rFonts w:ascii="Cambria Math" w:hAnsi="Cambria Math"/>
                  <w:lang w:val="fr-FR"/>
                </w:rPr>
                <m:t>(2.60±0.05)</m:t>
              </m:r>
            </m:oMath>
            <w:r w:rsidRPr="00042754">
              <w:rPr>
                <w:rFonts w:eastAsiaTheme="minorEastAsia"/>
                <w:lang w:val="fr-FR"/>
              </w:rPr>
              <w:t>cm.</w:t>
            </w:r>
          </w:p>
        </w:tc>
      </w:tr>
      <w:tr w:rsidR="00074BEC" w:rsidRPr="00042754" w14:paraId="29A3DCC7" w14:textId="77777777" w:rsidTr="00E974D8">
        <w:trPr>
          <w:trHeight w:val="1417"/>
        </w:trPr>
        <w:tc>
          <w:tcPr>
            <w:tcW w:w="4309" w:type="dxa"/>
          </w:tcPr>
          <w:p w14:paraId="29A3DCC5" w14:textId="77777777" w:rsidR="00074BEC" w:rsidRDefault="00074BEC" w:rsidP="00E974D8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9A3DCF1" wp14:editId="29A3DCF2">
                  <wp:extent cx="2473200" cy="705600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ading a scale - exception 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200" cy="70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9" w:type="dxa"/>
          </w:tcPr>
          <w:p w14:paraId="29A3DCC6" w14:textId="77777777" w:rsidR="00074BEC" w:rsidRPr="00042754" w:rsidRDefault="00042754" w:rsidP="00042754">
            <w:pPr>
              <w:jc w:val="left"/>
              <w:rPr>
                <w:rFonts w:eastAsiaTheme="minorEastAsia"/>
                <w:lang w:val="fr-FR"/>
              </w:rPr>
            </w:pPr>
            <w:r w:rsidRPr="00042754">
              <w:rPr>
                <w:b/>
                <w:lang w:val="fr-FR"/>
              </w:rPr>
              <w:t xml:space="preserve">La première </w:t>
            </w:r>
            <w:r w:rsidR="00074BEC" w:rsidRPr="00042754">
              <w:rPr>
                <w:b/>
                <w:lang w:val="fr-FR"/>
              </w:rPr>
              <w:t>exception:</w:t>
            </w:r>
            <w:r w:rsidR="00074BEC" w:rsidRPr="00042754">
              <w:rPr>
                <w:lang w:val="fr-FR"/>
              </w:rPr>
              <w:t xml:space="preserve"> </w:t>
            </w:r>
            <w:r w:rsidRPr="00042754">
              <w:rPr>
                <w:lang w:val="fr-FR"/>
              </w:rPr>
              <w:t xml:space="preserve">la division la plus rapprochée de la </w:t>
            </w:r>
            <w:r>
              <w:rPr>
                <w:lang w:val="fr-FR"/>
              </w:rPr>
              <w:t>flè</w:t>
            </w:r>
            <w:r w:rsidRPr="00042754">
              <w:rPr>
                <w:lang w:val="fr-FR"/>
              </w:rPr>
              <w:t>che est celle de</w:t>
            </w:r>
            <w:r w:rsidR="00074BEC" w:rsidRPr="00042754">
              <w:rPr>
                <w:lang w:val="fr-FR"/>
              </w:rPr>
              <w:t xml:space="preserve"> 4.4 cm </w:t>
            </w:r>
            <w:r>
              <w:rPr>
                <w:lang w:val="fr-FR"/>
              </w:rPr>
              <w:t>mais l’espace entre les divisions est très petit</w:t>
            </w:r>
            <w:r w:rsidR="00074BEC" w:rsidRPr="00042754">
              <w:rPr>
                <w:lang w:val="fr-FR"/>
              </w:rPr>
              <w:t xml:space="preserve">. </w:t>
            </w:r>
            <w:r w:rsidRPr="00042754">
              <w:rPr>
                <w:lang w:val="fr-FR"/>
              </w:rPr>
              <w:t xml:space="preserve">Il est difficile de </w:t>
            </w:r>
            <w:r>
              <w:rPr>
                <w:lang w:val="fr-FR"/>
              </w:rPr>
              <w:t>dé</w:t>
            </w:r>
            <w:r w:rsidRPr="00042754">
              <w:rPr>
                <w:lang w:val="fr-FR"/>
              </w:rPr>
              <w:t>terminer si la position se situe entre</w:t>
            </w:r>
            <w:r w:rsidR="00074BEC" w:rsidRPr="00042754">
              <w:rPr>
                <w:lang w:val="fr-FR"/>
              </w:rPr>
              <w:t xml:space="preserve"> 4.3 cm </w:t>
            </w:r>
            <w:r>
              <w:rPr>
                <w:lang w:val="fr-FR"/>
              </w:rPr>
              <w:t>et</w:t>
            </w:r>
            <w:r w:rsidR="00074BEC" w:rsidRPr="00042754">
              <w:rPr>
                <w:lang w:val="fr-FR"/>
              </w:rPr>
              <w:t xml:space="preserve"> 4.4 cm </w:t>
            </w:r>
            <w:r>
              <w:rPr>
                <w:lang w:val="fr-FR"/>
              </w:rPr>
              <w:t>ou entre</w:t>
            </w:r>
            <w:r w:rsidR="00074BEC" w:rsidRPr="00042754">
              <w:rPr>
                <w:lang w:val="fr-FR"/>
              </w:rPr>
              <w:t xml:space="preserve"> 4.4 c</w:t>
            </w:r>
            <w:r>
              <w:rPr>
                <w:lang w:val="fr-FR"/>
              </w:rPr>
              <w:t>m et</w:t>
            </w:r>
            <w:r w:rsidR="00074BEC" w:rsidRPr="00042754">
              <w:rPr>
                <w:lang w:val="fr-FR"/>
              </w:rPr>
              <w:t xml:space="preserve"> 4.5 cm. </w:t>
            </w:r>
            <w:r>
              <w:rPr>
                <w:lang w:val="fr-FR"/>
              </w:rPr>
              <w:t>La lecture finale est alors</w:t>
            </w:r>
            <w:r w:rsidR="00074BEC" w:rsidRPr="00042754">
              <w:rPr>
                <w:lang w:val="fr-FR"/>
              </w:rPr>
              <w:t xml:space="preserve"> </w:t>
            </w:r>
            <m:oMath>
              <m:r>
                <w:rPr>
                  <w:rFonts w:ascii="Cambria Math" w:hAnsi="Cambria Math"/>
                  <w:lang w:val="fr-FR"/>
                </w:rPr>
                <m:t>(4.4±0.1)</m:t>
              </m:r>
            </m:oMath>
            <w:r w:rsidR="00074BEC" w:rsidRPr="00042754">
              <w:rPr>
                <w:rFonts w:eastAsiaTheme="minorEastAsia"/>
                <w:lang w:val="fr-FR"/>
              </w:rPr>
              <w:t>cm.</w:t>
            </w:r>
          </w:p>
        </w:tc>
      </w:tr>
      <w:tr w:rsidR="00074BEC" w:rsidRPr="00346B32" w14:paraId="29A3DCCA" w14:textId="77777777" w:rsidTr="00E974D8">
        <w:trPr>
          <w:trHeight w:val="1417"/>
        </w:trPr>
        <w:tc>
          <w:tcPr>
            <w:tcW w:w="4309" w:type="dxa"/>
          </w:tcPr>
          <w:p w14:paraId="29A3DCC8" w14:textId="77777777" w:rsidR="00074BEC" w:rsidRDefault="00074BEC" w:rsidP="00E974D8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9A3DCF3" wp14:editId="29A3DCF4">
                  <wp:extent cx="2473200" cy="705600"/>
                  <wp:effectExtent l="0" t="0" r="381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ading a scale - exception 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200" cy="70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9" w:type="dxa"/>
          </w:tcPr>
          <w:p w14:paraId="29A3DCC9" w14:textId="77777777" w:rsidR="00074BEC" w:rsidRPr="00042754" w:rsidRDefault="00042754" w:rsidP="00042754">
            <w:pPr>
              <w:jc w:val="left"/>
              <w:rPr>
                <w:rFonts w:eastAsiaTheme="minorEastAsia"/>
                <w:lang w:val="fr-FR"/>
              </w:rPr>
            </w:pPr>
            <w:r w:rsidRPr="00042754">
              <w:rPr>
                <w:b/>
                <w:lang w:val="fr-FR"/>
              </w:rPr>
              <w:t>La seconde</w:t>
            </w:r>
            <w:r w:rsidR="00074BEC" w:rsidRPr="00042754">
              <w:rPr>
                <w:b/>
                <w:lang w:val="fr-FR"/>
              </w:rPr>
              <w:t xml:space="preserve"> exception</w:t>
            </w:r>
            <w:r>
              <w:rPr>
                <w:lang w:val="fr-FR"/>
              </w:rPr>
              <w:t xml:space="preserve"> il serait déraisonnable de dire que la flèche se situe à</w:t>
            </w:r>
            <m:oMath>
              <m:r>
                <w:rPr>
                  <w:rFonts w:ascii="Cambria Math" w:hAnsi="Cambria Math"/>
                  <w:lang w:val="fr-FR"/>
                </w:rPr>
                <m:t xml:space="preserve"> (4.0±0.5)</m:t>
              </m:r>
            </m:oMath>
            <w:r w:rsidR="00074BEC" w:rsidRPr="00042754">
              <w:rPr>
                <w:rFonts w:eastAsiaTheme="minorEastAsia"/>
                <w:lang w:val="fr-FR"/>
              </w:rPr>
              <w:t xml:space="preserve">cm </w:t>
            </w:r>
            <w:r>
              <w:rPr>
                <w:rFonts w:eastAsiaTheme="minorEastAsia"/>
                <w:lang w:val="fr-FR"/>
              </w:rPr>
              <w:t>tel que le suggère la règle générale</w:t>
            </w:r>
            <w:r w:rsidR="00074BEC" w:rsidRPr="00042754">
              <w:rPr>
                <w:rFonts w:eastAsiaTheme="minorEastAsia"/>
                <w:lang w:val="fr-FR"/>
              </w:rPr>
              <w:t xml:space="preserve">. </w:t>
            </w:r>
            <w:r>
              <w:rPr>
                <w:rFonts w:eastAsiaTheme="minorEastAsia"/>
                <w:lang w:val="fr-FR"/>
              </w:rPr>
              <w:t xml:space="preserve">Dans ce cas, il serait acceptable d’estimer que la flèche se situe à </w:t>
            </w:r>
            <m:oMath>
              <m:r>
                <w:rPr>
                  <w:rFonts w:ascii="Cambria Math" w:hAnsi="Cambria Math"/>
                  <w:lang w:val="fr-FR"/>
                </w:rPr>
                <m:t>(3.7±0.2)</m:t>
              </m:r>
            </m:oMath>
            <w:r w:rsidR="00074BEC" w:rsidRPr="00042754">
              <w:rPr>
                <w:rFonts w:eastAsiaTheme="minorEastAsia"/>
                <w:lang w:val="fr-FR"/>
              </w:rPr>
              <w:t xml:space="preserve">cm </w:t>
            </w:r>
            <w:r>
              <w:rPr>
                <w:rFonts w:eastAsiaTheme="minorEastAsia"/>
                <w:lang w:val="fr-FR"/>
              </w:rPr>
              <w:t>même si la plus petite division est de 1 cm</w:t>
            </w:r>
            <w:r w:rsidR="00074BEC" w:rsidRPr="00042754">
              <w:rPr>
                <w:rFonts w:eastAsiaTheme="minorEastAsia"/>
                <w:lang w:val="fr-FR"/>
              </w:rPr>
              <w:t>.</w:t>
            </w:r>
          </w:p>
        </w:tc>
      </w:tr>
    </w:tbl>
    <w:p w14:paraId="29A3DCCB" w14:textId="77777777" w:rsidR="00074BEC" w:rsidRPr="00042754" w:rsidRDefault="00074BEC" w:rsidP="00074BEC">
      <w:pPr>
        <w:rPr>
          <w:lang w:val="fr-FR"/>
        </w:rPr>
      </w:pPr>
    </w:p>
    <w:p w14:paraId="29A3DCCC" w14:textId="77777777" w:rsidR="00074BEC" w:rsidRPr="00042754" w:rsidRDefault="00074BEC" w:rsidP="00E9471B">
      <w:pPr>
        <w:rPr>
          <w:lang w:val="fr-FR"/>
        </w:rPr>
      </w:pPr>
    </w:p>
    <w:p w14:paraId="29A3DCCD" w14:textId="77777777" w:rsidR="007572F0" w:rsidRPr="00775EB9" w:rsidRDefault="004027F2" w:rsidP="00526597">
      <w:pPr>
        <w:pStyle w:val="Heading2"/>
        <w:rPr>
          <w:lang w:val="fr-FR"/>
        </w:rPr>
      </w:pPr>
      <w:r w:rsidRPr="00775EB9">
        <w:rPr>
          <w:lang w:val="fr-FR"/>
        </w:rPr>
        <w:t>Mesures de longueur</w:t>
      </w:r>
    </w:p>
    <w:p w14:paraId="29A3DCCE" w14:textId="77777777" w:rsidR="004027F2" w:rsidRPr="00775EB9" w:rsidRDefault="004027F2" w:rsidP="004027F2">
      <w:pPr>
        <w:rPr>
          <w:lang w:val="fr-FR"/>
        </w:rPr>
      </w:pPr>
      <w:r w:rsidRPr="00775EB9">
        <w:rPr>
          <w:lang w:val="fr-FR"/>
        </w:rPr>
        <w:t>Dans les laboratoires élémentaires, les longueurs à mesurer peuvent varier entre une fraction de millimètre à plusieurs mètres. Selon la longueur à mesurer, on utilise un instrument différent, adapté aux circonstances.</w:t>
      </w:r>
    </w:p>
    <w:p w14:paraId="29A3DCCF" w14:textId="77777777" w:rsidR="00357516" w:rsidRPr="00775EB9" w:rsidRDefault="00357516" w:rsidP="00357516">
      <w:pPr>
        <w:rPr>
          <w:lang w:val="fr-FR"/>
        </w:rPr>
      </w:pPr>
    </w:p>
    <w:p w14:paraId="29A3DCD0" w14:textId="77777777" w:rsidR="00A11272" w:rsidRPr="00775EB9" w:rsidRDefault="004027F2" w:rsidP="00526597">
      <w:pPr>
        <w:pStyle w:val="Heading3"/>
        <w:rPr>
          <w:lang w:val="fr-FR"/>
        </w:rPr>
      </w:pPr>
      <w:r w:rsidRPr="00775EB9">
        <w:rPr>
          <w:lang w:val="fr-FR"/>
        </w:rPr>
        <w:t>Le m</w:t>
      </w:r>
      <w:r w:rsidR="0049376D" w:rsidRPr="00775EB9">
        <w:rPr>
          <w:lang w:val="fr-FR"/>
        </w:rPr>
        <w:t>è</w:t>
      </w:r>
      <w:r w:rsidRPr="00775EB9">
        <w:rPr>
          <w:lang w:val="fr-FR"/>
        </w:rPr>
        <w:t>tre ou la règle</w:t>
      </w:r>
    </w:p>
    <w:p w14:paraId="29A3DCD1" w14:textId="71CBD0A0" w:rsidR="00357516" w:rsidRPr="00775EB9" w:rsidRDefault="0049376D" w:rsidP="0049376D">
      <w:pPr>
        <w:rPr>
          <w:rFonts w:eastAsiaTheme="minorEastAsia"/>
          <w:lang w:val="fr-FR"/>
        </w:rPr>
      </w:pPr>
      <w:r w:rsidRPr="00775EB9">
        <w:rPr>
          <w:lang w:val="fr-FR"/>
        </w:rPr>
        <w:t>Pour des distances supérieures à 10cm, le mètre ou la règle sont très utiles. Le mètre est d</w:t>
      </w:r>
      <w:r w:rsidR="00226311" w:rsidRPr="00775EB9">
        <w:rPr>
          <w:lang w:val="fr-FR"/>
        </w:rPr>
        <w:t>ivisé</w:t>
      </w:r>
      <w:r w:rsidRPr="00775EB9">
        <w:rPr>
          <w:lang w:val="fr-FR"/>
        </w:rPr>
        <w:t xml:space="preserve"> en 1000 parties. Ces divisions millimétriques sont fiables</w:t>
      </w:r>
      <w:r w:rsidR="00C446A8" w:rsidRPr="00775EB9">
        <w:rPr>
          <w:lang w:val="fr-FR"/>
        </w:rPr>
        <w:t xml:space="preserve"> à</w:t>
      </w:r>
      <w:r w:rsidRPr="00775EB9">
        <w:rPr>
          <w:lang w:val="fr-FR"/>
        </w:rPr>
        <w:t xml:space="preserve"> </w:t>
      </w:r>
      <m:oMath>
        <m:r>
          <w:rPr>
            <w:rFonts w:ascii="Cambria Math" w:hAnsi="Cambria Math"/>
            <w:lang w:val="fr-FR"/>
          </w:rPr>
          <m:t>±</m:t>
        </m:r>
      </m:oMath>
      <w:r w:rsidR="00C446A8" w:rsidRPr="00775EB9">
        <w:rPr>
          <w:rFonts w:eastAsiaTheme="minorEastAsia"/>
          <w:lang w:val="fr-FR"/>
        </w:rPr>
        <w:t>0.5</w:t>
      </w:r>
      <w:r w:rsidR="00C446A8" w:rsidRPr="00775EB9">
        <w:rPr>
          <w:lang w:val="fr-FR"/>
        </w:rPr>
        <w:t>mm (moitié de la plus petite division) pour chaque lecture</w:t>
      </w:r>
      <w:r w:rsidRPr="00775EB9">
        <w:rPr>
          <w:lang w:val="fr-FR"/>
        </w:rPr>
        <w:t xml:space="preserve"> si on fait attention d’évi</w:t>
      </w:r>
      <w:r w:rsidR="00C446A8" w:rsidRPr="00775EB9">
        <w:rPr>
          <w:lang w:val="fr-FR"/>
        </w:rPr>
        <w:t>ter l’erreur due à la parallaxe. Lorsque vous me</w:t>
      </w:r>
      <w:r w:rsidR="00226311" w:rsidRPr="00775EB9">
        <w:rPr>
          <w:lang w:val="fr-FR"/>
        </w:rPr>
        <w:t>surez la longueur d’un objet, les</w:t>
      </w:r>
      <w:r w:rsidR="00C446A8" w:rsidRPr="00775EB9">
        <w:rPr>
          <w:lang w:val="fr-FR"/>
        </w:rPr>
        <w:t xml:space="preserve"> position</w:t>
      </w:r>
      <w:r w:rsidR="00226311" w:rsidRPr="00775EB9">
        <w:rPr>
          <w:lang w:val="fr-FR"/>
        </w:rPr>
        <w:t>s</w:t>
      </w:r>
      <w:r w:rsidR="00C446A8" w:rsidRPr="00775EB9">
        <w:rPr>
          <w:lang w:val="fr-FR"/>
        </w:rPr>
        <w:t xml:space="preserve"> des deux extrémités de l’objet doivent être évaluée</w:t>
      </w:r>
      <w:r w:rsidR="00226311" w:rsidRPr="00775EB9">
        <w:rPr>
          <w:lang w:val="fr-FR"/>
        </w:rPr>
        <w:t>s</w:t>
      </w:r>
      <w:r w:rsidR="00C446A8" w:rsidRPr="00775EB9">
        <w:rPr>
          <w:lang w:val="fr-FR"/>
        </w:rPr>
        <w:t xml:space="preserve"> sur l’échelle du mètre et l’erreur sur la mesure de la longueur devient </w:t>
      </w:r>
      <m:oMath>
        <m:r>
          <w:rPr>
            <w:rFonts w:ascii="Cambria Math" w:hAnsi="Cambria Math"/>
            <w:lang w:val="fr-FR"/>
          </w:rPr>
          <m:t>±</m:t>
        </m:r>
      </m:oMath>
      <w:r w:rsidR="00DC7798">
        <w:rPr>
          <w:rFonts w:eastAsiaTheme="minorEastAsia"/>
          <w:lang w:val="fr-FR"/>
        </w:rPr>
        <w:t>0.7</w:t>
      </w:r>
      <w:r w:rsidR="00CE4438" w:rsidRPr="00775EB9">
        <w:rPr>
          <w:lang w:val="fr-FR"/>
        </w:rPr>
        <w:t>mm</w:t>
      </w:r>
      <w:r w:rsidR="00DC7798">
        <w:rPr>
          <w:lang w:val="fr-FR"/>
        </w:rPr>
        <w:t xml:space="preserve"> (en utilisant la propagation des incertitudes)</w:t>
      </w:r>
      <w:r w:rsidR="00CE4438" w:rsidRPr="00775EB9">
        <w:rPr>
          <w:lang w:val="fr-FR"/>
        </w:rPr>
        <w:t xml:space="preserve">.    </w:t>
      </w:r>
    </w:p>
    <w:p w14:paraId="29A3DCD2" w14:textId="77777777" w:rsidR="008809B7" w:rsidRPr="00775EB9" w:rsidRDefault="008809B7" w:rsidP="00357516">
      <w:pPr>
        <w:rPr>
          <w:lang w:val="fr-FR"/>
        </w:rPr>
      </w:pPr>
    </w:p>
    <w:p w14:paraId="29A3DCD3" w14:textId="3B3482AE" w:rsidR="008809B7" w:rsidRPr="00775EB9" w:rsidRDefault="00C446A8" w:rsidP="00357516">
      <w:pPr>
        <w:rPr>
          <w:rFonts w:eastAsiaTheme="minorEastAsia"/>
          <w:lang w:val="fr-FR"/>
        </w:rPr>
      </w:pPr>
      <w:r w:rsidRPr="00775EB9">
        <w:rPr>
          <w:lang w:val="fr-FR"/>
        </w:rPr>
        <w:t xml:space="preserve">La </w:t>
      </w:r>
      <w:r w:rsidR="007C01B3" w:rsidRPr="00775EB9">
        <w:rPr>
          <w:rStyle w:val="CrossRefChar"/>
          <w:lang w:val="fr-FR"/>
        </w:rPr>
        <w:fldChar w:fldCharType="begin"/>
      </w:r>
      <w:r w:rsidR="007C01B3" w:rsidRPr="00775EB9">
        <w:rPr>
          <w:rStyle w:val="CrossRefChar"/>
          <w:lang w:val="fr-FR"/>
        </w:rPr>
        <w:instrText xml:space="preserve"> REF _Ref359501648 \h  \* MERGEFORMAT </w:instrText>
      </w:r>
      <w:r w:rsidR="007C01B3" w:rsidRPr="00775EB9">
        <w:rPr>
          <w:rStyle w:val="CrossRefChar"/>
          <w:lang w:val="fr-FR"/>
        </w:rPr>
      </w:r>
      <w:r w:rsidR="007C01B3" w:rsidRPr="00775EB9">
        <w:rPr>
          <w:rStyle w:val="CrossRefChar"/>
          <w:lang w:val="fr-FR"/>
        </w:rPr>
        <w:fldChar w:fldCharType="separate"/>
      </w:r>
      <w:r w:rsidR="00F064F5" w:rsidRPr="00F064F5">
        <w:rPr>
          <w:rStyle w:val="CrossRefChar"/>
          <w:lang w:val="fr-FR"/>
        </w:rPr>
        <w:t>Figure 1</w:t>
      </w:r>
      <w:r w:rsidR="007C01B3" w:rsidRPr="00775EB9">
        <w:rPr>
          <w:rStyle w:val="CrossRefChar"/>
          <w:lang w:val="fr-FR"/>
        </w:rPr>
        <w:fldChar w:fldCharType="end"/>
      </w:r>
      <w:r w:rsidR="007C01B3" w:rsidRPr="00775EB9">
        <w:rPr>
          <w:lang w:val="fr-FR"/>
        </w:rPr>
        <w:t xml:space="preserve"> </w:t>
      </w:r>
      <w:r w:rsidRPr="00775EB9">
        <w:rPr>
          <w:lang w:val="fr-FR"/>
        </w:rPr>
        <w:t>présente un exemple de mesure de longueur d’un objet à l’aide d’une règle</w:t>
      </w:r>
      <w:r w:rsidR="008809B7" w:rsidRPr="00775EB9">
        <w:rPr>
          <w:lang w:val="fr-FR"/>
        </w:rPr>
        <w:t xml:space="preserve">. </w:t>
      </w:r>
      <w:r w:rsidR="00257A36" w:rsidRPr="00775EB9">
        <w:rPr>
          <w:lang w:val="fr-FR"/>
        </w:rPr>
        <w:t xml:space="preserve">Les extrémités de l’objet se situent à </w:t>
      </w:r>
      <w:r w:rsidR="00284686" w:rsidRPr="00775EB9">
        <w:rPr>
          <w:lang w:val="fr-FR"/>
        </w:rPr>
        <w:t>0.2</w:t>
      </w:r>
      <w:r w:rsidR="00C86E4A">
        <w:rPr>
          <w:lang w:val="fr-FR"/>
        </w:rPr>
        <w:t>0</w:t>
      </w:r>
      <w:bookmarkStart w:id="3" w:name="_GoBack"/>
      <w:bookmarkEnd w:id="3"/>
      <w:r w:rsidR="008809B7" w:rsidRPr="00775EB9">
        <w:rPr>
          <w:lang w:val="fr-FR"/>
        </w:rPr>
        <w:t xml:space="preserve">cm </w:t>
      </w:r>
      <w:r w:rsidR="00257A36" w:rsidRPr="00775EB9">
        <w:rPr>
          <w:lang w:val="fr-FR"/>
        </w:rPr>
        <w:t>et</w:t>
      </w:r>
      <w:r w:rsidR="008809B7" w:rsidRPr="00775EB9">
        <w:rPr>
          <w:lang w:val="fr-FR"/>
        </w:rPr>
        <w:t xml:space="preserve"> </w:t>
      </w:r>
      <w:r w:rsidR="00284686" w:rsidRPr="00775EB9">
        <w:rPr>
          <w:lang w:val="fr-FR"/>
        </w:rPr>
        <w:t>4.10</w:t>
      </w:r>
      <w:r w:rsidR="008809B7" w:rsidRPr="00775EB9">
        <w:rPr>
          <w:lang w:val="fr-FR"/>
        </w:rPr>
        <w:t xml:space="preserve">cm </w:t>
      </w:r>
      <w:r w:rsidR="00257A36" w:rsidRPr="00775EB9">
        <w:rPr>
          <w:lang w:val="fr-FR"/>
        </w:rPr>
        <w:t>avec une incertitude de</w:t>
      </w:r>
      <w:r w:rsidR="008809B7" w:rsidRPr="00775EB9">
        <w:rPr>
          <w:lang w:val="fr-FR"/>
        </w:rPr>
        <w:t xml:space="preserve"> </w:t>
      </w:r>
      <m:oMath>
        <m:r>
          <w:rPr>
            <w:rFonts w:ascii="Cambria Math" w:hAnsi="Cambria Math"/>
            <w:lang w:val="fr-FR"/>
          </w:rPr>
          <m:t>±</m:t>
        </m:r>
      </m:oMath>
      <w:r w:rsidR="00284686" w:rsidRPr="00775EB9">
        <w:rPr>
          <w:rFonts w:eastAsiaTheme="minorEastAsia"/>
          <w:lang w:val="fr-FR"/>
        </w:rPr>
        <w:t>0.05</w:t>
      </w:r>
      <w:r w:rsidR="008809B7" w:rsidRPr="00775EB9">
        <w:rPr>
          <w:lang w:val="fr-FR"/>
        </w:rPr>
        <w:t xml:space="preserve">cm </w:t>
      </w:r>
      <w:r w:rsidR="00257A36" w:rsidRPr="00775EB9">
        <w:rPr>
          <w:lang w:val="fr-FR"/>
        </w:rPr>
        <w:t>alors que la longueur totale de l’objet est donnée par</w:t>
      </w:r>
      <w:r w:rsidR="008809B7" w:rsidRPr="00775EB9">
        <w:rPr>
          <w:lang w:val="fr-FR"/>
        </w:rPr>
        <w:t xml:space="preserve"> </w:t>
      </w:r>
      <m:oMath>
        <m:r>
          <w:rPr>
            <w:rFonts w:ascii="Cambria Math" w:hAnsi="Cambria Math"/>
            <w:lang w:val="fr-FR"/>
          </w:rPr>
          <m:t>L=(4.10±0.05)</m:t>
        </m:r>
      </m:oMath>
      <w:r w:rsidR="008809B7" w:rsidRPr="00775EB9">
        <w:rPr>
          <w:rFonts w:eastAsiaTheme="minorEastAsia"/>
          <w:lang w:val="fr-FR"/>
        </w:rPr>
        <w:t>cm</w:t>
      </w:r>
      <m:oMath>
        <m:r>
          <w:rPr>
            <w:rFonts w:ascii="Cambria Math" w:eastAsiaTheme="minorEastAsia" w:hAnsi="Cambria Math"/>
            <w:lang w:val="fr-FR"/>
          </w:rPr>
          <m:t xml:space="preserve"> - </m:t>
        </m:r>
        <m:r>
          <w:rPr>
            <w:rFonts w:ascii="Cambria Math" w:hAnsi="Cambria Math"/>
            <w:lang w:val="fr-FR"/>
          </w:rPr>
          <m:t>(0.20±0.05)</m:t>
        </m:r>
      </m:oMath>
      <w:r w:rsidR="008809B7" w:rsidRPr="00775EB9">
        <w:rPr>
          <w:rFonts w:eastAsiaTheme="minorEastAsia"/>
          <w:lang w:val="fr-FR"/>
        </w:rPr>
        <w:t>cm</w:t>
      </w:r>
      <m:oMath>
        <m:r>
          <w:rPr>
            <w:rFonts w:ascii="Cambria Math" w:eastAsiaTheme="minorEastAsia" w:hAnsi="Cambria Math"/>
            <w:lang w:val="fr-FR"/>
          </w:rPr>
          <m:t xml:space="preserve"> =</m:t>
        </m:r>
        <m:r>
          <w:rPr>
            <w:rFonts w:ascii="Cambria Math" w:hAnsi="Cambria Math"/>
            <w:lang w:val="fr-FR"/>
          </w:rPr>
          <m:t>(3.90±0.07)</m:t>
        </m:r>
        <m:r>
          <m:rPr>
            <m:sty m:val="p"/>
          </m:rPr>
          <w:rPr>
            <w:rFonts w:ascii="Cambria Math" w:eastAsiaTheme="minorEastAsia" w:hAnsi="Cambria Math"/>
            <w:lang w:val="fr-FR"/>
          </w:rPr>
          <m:t>cm</m:t>
        </m:r>
      </m:oMath>
      <w:r w:rsidR="008809B7" w:rsidRPr="00775EB9">
        <w:rPr>
          <w:rFonts w:eastAsiaTheme="minorEastAsia"/>
          <w:lang w:val="fr-FR"/>
        </w:rPr>
        <w:t xml:space="preserve">.  </w:t>
      </w:r>
    </w:p>
    <w:p w14:paraId="29A3DCD4" w14:textId="77777777" w:rsidR="008809B7" w:rsidRPr="00775EB9" w:rsidRDefault="008809B7" w:rsidP="00357516">
      <w:pPr>
        <w:rPr>
          <w:lang w:val="fr-FR"/>
        </w:rPr>
      </w:pPr>
    </w:p>
    <w:p w14:paraId="29A3DCD5" w14:textId="77777777" w:rsidR="008847AC" w:rsidRPr="00775EB9" w:rsidRDefault="00FC6E10" w:rsidP="008847AC">
      <w:pPr>
        <w:keepNext/>
        <w:jc w:val="center"/>
        <w:rPr>
          <w:lang w:val="fr-FR"/>
        </w:rPr>
      </w:pPr>
      <w:r w:rsidRPr="00775EB9">
        <w:rPr>
          <w:noProof/>
          <w:lang w:val="en-US"/>
        </w:rPr>
        <w:drawing>
          <wp:inline distT="0" distB="0" distL="0" distR="0" wp14:anchorId="29A3DCF5" wp14:editId="29A3DCF6">
            <wp:extent cx="2887200" cy="77760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ler-f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200" cy="77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3DCD6" w14:textId="77777777" w:rsidR="008847AC" w:rsidRPr="00775EB9" w:rsidRDefault="008847AC" w:rsidP="008847AC">
      <w:pPr>
        <w:keepNext/>
        <w:jc w:val="center"/>
        <w:rPr>
          <w:lang w:val="fr-FR"/>
        </w:rPr>
      </w:pPr>
    </w:p>
    <w:p w14:paraId="29A3DCD7" w14:textId="4ED18FF2" w:rsidR="00357516" w:rsidRPr="00775EB9" w:rsidRDefault="008847AC" w:rsidP="008847AC">
      <w:pPr>
        <w:pStyle w:val="Caption"/>
        <w:rPr>
          <w:lang w:val="fr-FR"/>
        </w:rPr>
      </w:pPr>
      <w:bookmarkStart w:id="4" w:name="_Ref359501648"/>
      <w:r w:rsidRPr="00775EB9">
        <w:rPr>
          <w:lang w:val="fr-FR"/>
        </w:rPr>
        <w:t xml:space="preserve">Figure </w:t>
      </w:r>
      <w:r w:rsidR="00583CDF" w:rsidRPr="00775EB9">
        <w:rPr>
          <w:lang w:val="fr-FR"/>
        </w:rPr>
        <w:fldChar w:fldCharType="begin"/>
      </w:r>
      <w:r w:rsidR="00583CDF" w:rsidRPr="00775EB9">
        <w:rPr>
          <w:lang w:val="fr-FR"/>
        </w:rPr>
        <w:instrText xml:space="preserve"> SEQ Figure \* ARABIC </w:instrText>
      </w:r>
      <w:r w:rsidR="00583CDF" w:rsidRPr="00775EB9">
        <w:rPr>
          <w:lang w:val="fr-FR"/>
        </w:rPr>
        <w:fldChar w:fldCharType="separate"/>
      </w:r>
      <w:r w:rsidR="00F064F5">
        <w:rPr>
          <w:noProof/>
          <w:lang w:val="fr-FR"/>
        </w:rPr>
        <w:t>1</w:t>
      </w:r>
      <w:r w:rsidR="00583CDF" w:rsidRPr="00775EB9">
        <w:rPr>
          <w:noProof/>
          <w:lang w:val="fr-FR"/>
        </w:rPr>
        <w:fldChar w:fldCharType="end"/>
      </w:r>
      <w:bookmarkEnd w:id="4"/>
      <w:r w:rsidR="00037E2A" w:rsidRPr="00775EB9">
        <w:rPr>
          <w:lang w:val="fr-FR"/>
        </w:rPr>
        <w:t xml:space="preserve"> – </w:t>
      </w:r>
      <w:r w:rsidR="001646BD" w:rsidRPr="00775EB9">
        <w:rPr>
          <w:lang w:val="fr-FR"/>
        </w:rPr>
        <w:t>Exemple de mesure de longueur en utilisant une règle</w:t>
      </w:r>
      <w:r w:rsidR="00037E2A" w:rsidRPr="00775EB9">
        <w:rPr>
          <w:lang w:val="fr-FR"/>
        </w:rPr>
        <w:t xml:space="preserve">. </w:t>
      </w:r>
    </w:p>
    <w:p w14:paraId="29A3DCD8" w14:textId="77777777" w:rsidR="00697529" w:rsidRPr="00775EB9" w:rsidRDefault="00697529" w:rsidP="008809B7">
      <w:pPr>
        <w:jc w:val="center"/>
        <w:rPr>
          <w:lang w:val="fr-FR"/>
        </w:rPr>
      </w:pPr>
    </w:p>
    <w:p w14:paraId="29A3DCD9" w14:textId="77777777" w:rsidR="00A11272" w:rsidRPr="00775EB9" w:rsidRDefault="00424AF9" w:rsidP="00526597">
      <w:pPr>
        <w:pStyle w:val="Heading3"/>
        <w:rPr>
          <w:lang w:val="fr-FR"/>
        </w:rPr>
      </w:pPr>
      <w:r w:rsidRPr="00775EB9">
        <w:rPr>
          <w:lang w:val="fr-FR"/>
        </w:rPr>
        <w:t>Le p</w:t>
      </w:r>
      <w:r w:rsidR="005957BC" w:rsidRPr="00775EB9">
        <w:rPr>
          <w:lang w:val="fr-FR"/>
        </w:rPr>
        <w:t>ied à coulisse</w:t>
      </w:r>
    </w:p>
    <w:p w14:paraId="29A3DCDA" w14:textId="3C6E6EBA" w:rsidR="005D69C7" w:rsidRPr="00775EB9" w:rsidRDefault="005F0D6D" w:rsidP="005F0D6D">
      <w:pPr>
        <w:rPr>
          <w:lang w:val="fr-FR"/>
        </w:rPr>
      </w:pPr>
      <w:r w:rsidRPr="00775EB9">
        <w:rPr>
          <w:lang w:val="fr-FR"/>
        </w:rPr>
        <w:t>Pour des distances comprises entre environ 1cm et 10cm, on utilise un pied à coulisse muni d’un vernier (ou tout autre appareil, tel un microscope comparateur également muni d’un vernie</w:t>
      </w:r>
      <w:r w:rsidR="005D69C7" w:rsidRPr="00775EB9">
        <w:rPr>
          <w:lang w:val="fr-FR"/>
        </w:rPr>
        <w:t xml:space="preserve">r). Le vernier </w:t>
      </w:r>
      <w:r w:rsidRPr="00775EB9">
        <w:rPr>
          <w:lang w:val="fr-FR"/>
        </w:rPr>
        <w:t xml:space="preserve">consiste en une petite </w:t>
      </w:r>
      <w:r w:rsidRPr="00775EB9">
        <w:rPr>
          <w:lang w:val="fr-FR"/>
        </w:rPr>
        <w:lastRenderedPageBreak/>
        <w:t xml:space="preserve">règle se déplaçant le long d’une règle principale et permet l’interpolation entre les plus petites divisions </w:t>
      </w:r>
      <w:r w:rsidR="007D2FAF">
        <w:rPr>
          <w:lang w:val="fr-FR"/>
        </w:rPr>
        <w:t xml:space="preserve">de l’échelle principale (voir la </w:t>
      </w:r>
      <w:r w:rsidR="007D2FAF" w:rsidRPr="007D2FAF">
        <w:rPr>
          <w:rStyle w:val="CrossRefChar"/>
        </w:rPr>
        <w:fldChar w:fldCharType="begin"/>
      </w:r>
      <w:r w:rsidR="007D2FAF" w:rsidRPr="007D2FAF">
        <w:rPr>
          <w:rStyle w:val="CrossRefChar"/>
          <w:lang w:val="fr-CA"/>
        </w:rPr>
        <w:instrText xml:space="preserve"> REF _Ref359505315 \h  \* MERGEFORMAT </w:instrText>
      </w:r>
      <w:r w:rsidR="007D2FAF" w:rsidRPr="007D2FAF">
        <w:rPr>
          <w:rStyle w:val="CrossRefChar"/>
        </w:rPr>
      </w:r>
      <w:r w:rsidR="007D2FAF" w:rsidRPr="007D2FAF">
        <w:rPr>
          <w:rStyle w:val="CrossRefChar"/>
        </w:rPr>
        <w:fldChar w:fldCharType="separate"/>
      </w:r>
      <w:r w:rsidR="00F064F5" w:rsidRPr="00F064F5">
        <w:rPr>
          <w:rStyle w:val="CrossRefChar"/>
          <w:lang w:val="fr-CA"/>
        </w:rPr>
        <w:t>Figure 2</w:t>
      </w:r>
      <w:r w:rsidR="007D2FAF" w:rsidRPr="007D2FAF">
        <w:rPr>
          <w:rStyle w:val="CrossRefChar"/>
        </w:rPr>
        <w:fldChar w:fldCharType="end"/>
      </w:r>
      <w:r w:rsidRPr="00775EB9">
        <w:rPr>
          <w:lang w:val="fr-FR"/>
        </w:rPr>
        <w:t xml:space="preserve">). </w:t>
      </w:r>
    </w:p>
    <w:p w14:paraId="29A3DCDB" w14:textId="77777777" w:rsidR="005D69C7" w:rsidRPr="00775EB9" w:rsidRDefault="005D69C7" w:rsidP="005F0D6D">
      <w:pPr>
        <w:rPr>
          <w:lang w:val="fr-FR"/>
        </w:rPr>
      </w:pPr>
    </w:p>
    <w:p w14:paraId="29A3DCDC" w14:textId="508766FF" w:rsidR="005F0D6D" w:rsidRPr="00775EB9" w:rsidRDefault="005F0D6D" w:rsidP="005F0D6D">
      <w:pPr>
        <w:rPr>
          <w:lang w:val="fr-FR"/>
        </w:rPr>
      </w:pPr>
      <w:r w:rsidRPr="00775EB9">
        <w:rPr>
          <w:lang w:val="fr-FR"/>
        </w:rPr>
        <w:t>En général, 10 petites divisions sur le vernier ont la même longueur que 9 petites divisions sur la règle principale. Chaque division du vernier équivaut donc à neuf dixièmes (0,9) d’une division sur la règle principale. Certains verniers sont divisés en 20 parties au lieu de 10 et fonctionnent e</w:t>
      </w:r>
      <w:r w:rsidR="007D2FAF">
        <w:rPr>
          <w:lang w:val="fr-FR"/>
        </w:rPr>
        <w:t xml:space="preserve">xactement de la même façon (voir </w:t>
      </w:r>
      <w:r w:rsidR="007D2FAF" w:rsidRPr="007D2FAF">
        <w:rPr>
          <w:rStyle w:val="CrossRefChar"/>
        </w:rPr>
        <w:fldChar w:fldCharType="begin"/>
      </w:r>
      <w:r w:rsidR="007D2FAF" w:rsidRPr="007D2FAF">
        <w:rPr>
          <w:rStyle w:val="CrossRefChar"/>
          <w:lang w:val="fr-CA"/>
        </w:rPr>
        <w:instrText xml:space="preserve"> REF _Ref359505315 \h  \* MERGEFORMAT </w:instrText>
      </w:r>
      <w:r w:rsidR="007D2FAF" w:rsidRPr="007D2FAF">
        <w:rPr>
          <w:rStyle w:val="CrossRefChar"/>
        </w:rPr>
      </w:r>
      <w:r w:rsidR="007D2FAF" w:rsidRPr="007D2FAF">
        <w:rPr>
          <w:rStyle w:val="CrossRefChar"/>
        </w:rPr>
        <w:fldChar w:fldCharType="separate"/>
      </w:r>
      <w:r w:rsidR="00F064F5" w:rsidRPr="00F064F5">
        <w:rPr>
          <w:rStyle w:val="CrossRefChar"/>
          <w:lang w:val="fr-CA"/>
        </w:rPr>
        <w:t>Figure 2</w:t>
      </w:r>
      <w:r w:rsidR="007D2FAF" w:rsidRPr="007D2FAF">
        <w:rPr>
          <w:rStyle w:val="CrossRefChar"/>
        </w:rPr>
        <w:fldChar w:fldCharType="end"/>
      </w:r>
      <w:r w:rsidRPr="00775EB9">
        <w:rPr>
          <w:lang w:val="fr-FR"/>
        </w:rPr>
        <w:t>).</w:t>
      </w:r>
    </w:p>
    <w:p w14:paraId="29A3DCDD" w14:textId="77777777" w:rsidR="005F0D6D" w:rsidRPr="00775EB9" w:rsidRDefault="005F0D6D" w:rsidP="005F0D6D">
      <w:pPr>
        <w:rPr>
          <w:lang w:val="fr-FR"/>
        </w:rPr>
      </w:pPr>
    </w:p>
    <w:p w14:paraId="29A3DCDE" w14:textId="48784695" w:rsidR="005F0D6D" w:rsidRPr="00775EB9" w:rsidRDefault="005F0D6D" w:rsidP="005F0D6D">
      <w:pPr>
        <w:rPr>
          <w:lang w:val="fr-FR"/>
        </w:rPr>
      </w:pPr>
      <w:r w:rsidRPr="00775EB9">
        <w:rPr>
          <w:lang w:val="fr-FR"/>
        </w:rPr>
        <w:t>Ainsi, si on déplace le vernier de</w:t>
      </w:r>
      <w:r w:rsidR="005D69C7" w:rsidRPr="00775EB9">
        <w:rPr>
          <w:lang w:val="fr-FR"/>
        </w:rPr>
        <w:t xml:space="preserve"> 0,1 unité vers la droite, l</w:t>
      </w:r>
      <w:r w:rsidR="0098618B" w:rsidRPr="00775EB9">
        <w:rPr>
          <w:lang w:val="fr-FR"/>
        </w:rPr>
        <w:t>a</w:t>
      </w:r>
      <w:r w:rsidR="005D69C7" w:rsidRPr="00775EB9">
        <w:rPr>
          <w:lang w:val="fr-FR"/>
        </w:rPr>
        <w:t xml:space="preserve"> marque du 1</w:t>
      </w:r>
      <w:r w:rsidRPr="00775EB9">
        <w:rPr>
          <w:lang w:val="fr-FR"/>
        </w:rPr>
        <w:t xml:space="preserve"> </w:t>
      </w:r>
      <w:r w:rsidR="005D69C7" w:rsidRPr="00775EB9">
        <w:rPr>
          <w:lang w:val="fr-FR"/>
        </w:rPr>
        <w:t xml:space="preserve">sur le vernier </w:t>
      </w:r>
      <w:r w:rsidRPr="00775EB9">
        <w:rPr>
          <w:lang w:val="fr-FR"/>
        </w:rPr>
        <w:t xml:space="preserve">coïncidera exactement </w:t>
      </w:r>
      <w:r w:rsidR="005D69C7" w:rsidRPr="00775EB9">
        <w:rPr>
          <w:lang w:val="fr-FR"/>
        </w:rPr>
        <w:t>avec la marque du</w:t>
      </w:r>
      <w:r w:rsidRPr="00775EB9">
        <w:rPr>
          <w:lang w:val="fr-FR"/>
        </w:rPr>
        <w:t xml:space="preserve"> 1</w:t>
      </w:r>
      <w:r w:rsidR="005D69C7" w:rsidRPr="00775EB9">
        <w:rPr>
          <w:lang w:val="fr-FR"/>
        </w:rPr>
        <w:t xml:space="preserve"> sur l’échelle principale. </w:t>
      </w:r>
      <w:r w:rsidRPr="00775EB9">
        <w:rPr>
          <w:lang w:val="fr-FR"/>
        </w:rPr>
        <w:t xml:space="preserve">Dans l’exemple </w:t>
      </w:r>
      <w:r w:rsidR="005D69C7" w:rsidRPr="00775EB9">
        <w:rPr>
          <w:lang w:val="fr-FR"/>
        </w:rPr>
        <w:t>de</w:t>
      </w:r>
      <w:r w:rsidR="007D2FAF">
        <w:rPr>
          <w:lang w:val="fr-FR"/>
        </w:rPr>
        <w:t xml:space="preserve"> la </w:t>
      </w:r>
      <w:r w:rsidR="007D2FAF" w:rsidRPr="007D2FAF">
        <w:rPr>
          <w:rStyle w:val="CrossRefChar"/>
        </w:rPr>
        <w:fldChar w:fldCharType="begin"/>
      </w:r>
      <w:r w:rsidR="007D2FAF" w:rsidRPr="007D2FAF">
        <w:rPr>
          <w:rStyle w:val="CrossRefChar"/>
          <w:lang w:val="fr-CA"/>
        </w:rPr>
        <w:instrText xml:space="preserve"> REF _Ref359505315 \h  \* MERGEFORMAT </w:instrText>
      </w:r>
      <w:r w:rsidR="007D2FAF" w:rsidRPr="007D2FAF">
        <w:rPr>
          <w:rStyle w:val="CrossRefChar"/>
        </w:rPr>
      </w:r>
      <w:r w:rsidR="007D2FAF" w:rsidRPr="007D2FAF">
        <w:rPr>
          <w:rStyle w:val="CrossRefChar"/>
        </w:rPr>
        <w:fldChar w:fldCharType="separate"/>
      </w:r>
      <w:r w:rsidR="00F064F5" w:rsidRPr="00F064F5">
        <w:rPr>
          <w:rStyle w:val="CrossRefChar"/>
          <w:lang w:val="fr-CA"/>
        </w:rPr>
        <w:t>Figure 2</w:t>
      </w:r>
      <w:r w:rsidR="007D2FAF" w:rsidRPr="007D2FAF">
        <w:rPr>
          <w:rStyle w:val="CrossRefChar"/>
        </w:rPr>
        <w:fldChar w:fldCharType="end"/>
      </w:r>
      <w:r w:rsidR="005D69C7" w:rsidRPr="00775EB9">
        <w:rPr>
          <w:lang w:val="fr-FR"/>
        </w:rPr>
        <w:t xml:space="preserve">, </w:t>
      </w:r>
      <w:r w:rsidRPr="00775EB9">
        <w:rPr>
          <w:lang w:val="fr-FR"/>
        </w:rPr>
        <w:t>le vernier a été déplacé de 7 divisio</w:t>
      </w:r>
      <w:r w:rsidR="005D69C7" w:rsidRPr="00775EB9">
        <w:rPr>
          <w:lang w:val="fr-FR"/>
        </w:rPr>
        <w:t xml:space="preserve">ns plus une fraction. Puisque la marque du 3,5 </w:t>
      </w:r>
      <w:r w:rsidRPr="00775EB9">
        <w:rPr>
          <w:lang w:val="fr-FR"/>
        </w:rPr>
        <w:t>est aligné</w:t>
      </w:r>
      <w:r w:rsidR="005D69C7" w:rsidRPr="00775EB9">
        <w:rPr>
          <w:lang w:val="fr-FR"/>
        </w:rPr>
        <w:t>e</w:t>
      </w:r>
      <w:r w:rsidRPr="00775EB9">
        <w:rPr>
          <w:lang w:val="fr-FR"/>
        </w:rPr>
        <w:t xml:space="preserve"> avec une division du dessous, on déduit que le vernier</w:t>
      </w:r>
      <w:r w:rsidR="005D69C7" w:rsidRPr="00775EB9">
        <w:rPr>
          <w:lang w:val="fr-FR"/>
        </w:rPr>
        <w:t xml:space="preserve"> est déplacé de 7,35 divisions</w:t>
      </w:r>
      <w:r w:rsidRPr="00775EB9">
        <w:rPr>
          <w:lang w:val="fr-FR"/>
        </w:rPr>
        <w:t>.</w:t>
      </w:r>
    </w:p>
    <w:p w14:paraId="29A3DCDF" w14:textId="77777777" w:rsidR="005F0D6D" w:rsidRPr="00775EB9" w:rsidRDefault="005F0D6D" w:rsidP="005F0D6D">
      <w:pPr>
        <w:rPr>
          <w:lang w:val="fr-FR"/>
        </w:rPr>
      </w:pPr>
      <w:r w:rsidRPr="00775EB9">
        <w:rPr>
          <w:lang w:val="fr-FR"/>
        </w:rPr>
        <w:t xml:space="preserve"> </w:t>
      </w:r>
    </w:p>
    <w:p w14:paraId="29A3DCE0" w14:textId="69D41394" w:rsidR="00C04B49" w:rsidRPr="00775EB9" w:rsidRDefault="005F0D6D" w:rsidP="00C04B49">
      <w:pPr>
        <w:rPr>
          <w:lang w:val="fr-FR"/>
        </w:rPr>
      </w:pPr>
      <w:r w:rsidRPr="00775EB9">
        <w:rPr>
          <w:lang w:val="fr-FR"/>
        </w:rPr>
        <w:t>Il est important de vérifier s’il y a une correction au zéro à faire. Assurez-vous que la distance indiquée est nulle  lorsque les mâchoires sont refermées; si ce n’est pas le cas, corrigez tous vos résultats en fonction de ce défaut.</w:t>
      </w:r>
      <w:r w:rsidR="00161591" w:rsidRPr="00775EB9">
        <w:rPr>
          <w:lang w:val="fr-FR"/>
        </w:rPr>
        <w:t xml:space="preserve"> </w:t>
      </w:r>
      <w:r w:rsidR="000909E2" w:rsidRPr="00775EB9">
        <w:rPr>
          <w:lang w:val="fr-FR"/>
        </w:rPr>
        <w:t>Si</w:t>
      </w:r>
      <w:r w:rsidR="00161591" w:rsidRPr="00775EB9">
        <w:rPr>
          <w:lang w:val="fr-FR"/>
        </w:rPr>
        <w:t xml:space="preserve"> </w:t>
      </w:r>
      <w:r w:rsidR="000909E2" w:rsidRPr="00775EB9">
        <w:rPr>
          <w:lang w:val="fr-FR"/>
        </w:rPr>
        <w:t>l</w:t>
      </w:r>
      <w:r w:rsidR="0098618B" w:rsidRPr="00775EB9">
        <w:rPr>
          <w:lang w:val="fr-FR"/>
        </w:rPr>
        <w:t>e pied à coulisse est bien remis à z</w:t>
      </w:r>
      <w:r w:rsidR="00226311" w:rsidRPr="00775EB9">
        <w:rPr>
          <w:lang w:val="fr-FR"/>
        </w:rPr>
        <w:t>é</w:t>
      </w:r>
      <w:r w:rsidR="0098618B" w:rsidRPr="00775EB9">
        <w:rPr>
          <w:lang w:val="fr-FR"/>
        </w:rPr>
        <w:t>ro, l’erreur sur la lecture correspond à sa plus petite division</w:t>
      </w:r>
      <w:r w:rsidR="00161591" w:rsidRPr="00775EB9">
        <w:rPr>
          <w:lang w:val="fr-FR"/>
        </w:rPr>
        <w:t xml:space="preserve"> (</w:t>
      </w:r>
      <m:oMath>
        <m:r>
          <w:rPr>
            <w:rFonts w:ascii="Cambria Math" w:hAnsi="Cambria Math"/>
            <w:lang w:val="fr-FR"/>
          </w:rPr>
          <m:t>±</m:t>
        </m:r>
      </m:oMath>
      <w:r w:rsidR="00284686" w:rsidRPr="00775EB9">
        <w:rPr>
          <w:rFonts w:eastAsiaTheme="minorEastAsia"/>
          <w:lang w:val="fr-FR"/>
        </w:rPr>
        <w:t>0.05</w:t>
      </w:r>
      <w:r w:rsidR="00161591" w:rsidRPr="00775EB9">
        <w:rPr>
          <w:lang w:val="fr-FR"/>
        </w:rPr>
        <w:t xml:space="preserve">mm </w:t>
      </w:r>
      <w:r w:rsidR="007D2FAF">
        <w:rPr>
          <w:lang w:val="fr-FR"/>
        </w:rPr>
        <w:t xml:space="preserve">dans le cas présenté à la </w:t>
      </w:r>
      <w:r w:rsidR="007D2FAF" w:rsidRPr="007D2FAF">
        <w:rPr>
          <w:rStyle w:val="CrossRefChar"/>
        </w:rPr>
        <w:fldChar w:fldCharType="begin"/>
      </w:r>
      <w:r w:rsidR="007D2FAF" w:rsidRPr="007D2FAF">
        <w:rPr>
          <w:rStyle w:val="CrossRefChar"/>
          <w:lang w:val="fr-CA"/>
        </w:rPr>
        <w:instrText xml:space="preserve"> REF _Ref359505315 \h  \* MERGEFORMAT </w:instrText>
      </w:r>
      <w:r w:rsidR="007D2FAF" w:rsidRPr="007D2FAF">
        <w:rPr>
          <w:rStyle w:val="CrossRefChar"/>
        </w:rPr>
      </w:r>
      <w:r w:rsidR="007D2FAF" w:rsidRPr="007D2FAF">
        <w:rPr>
          <w:rStyle w:val="CrossRefChar"/>
        </w:rPr>
        <w:fldChar w:fldCharType="separate"/>
      </w:r>
      <w:r w:rsidR="00F064F5" w:rsidRPr="00F064F5">
        <w:rPr>
          <w:rStyle w:val="CrossRefChar"/>
          <w:lang w:val="fr-CA"/>
        </w:rPr>
        <w:t>Figure 2</w:t>
      </w:r>
      <w:r w:rsidR="007D2FAF" w:rsidRPr="007D2FAF">
        <w:rPr>
          <w:rStyle w:val="CrossRefChar"/>
        </w:rPr>
        <w:fldChar w:fldCharType="end"/>
      </w:r>
      <w:r w:rsidR="00161591" w:rsidRPr="00775EB9">
        <w:rPr>
          <w:lang w:val="fr-FR"/>
        </w:rPr>
        <w:t>).</w:t>
      </w:r>
    </w:p>
    <w:p w14:paraId="29A3DCE1" w14:textId="77777777" w:rsidR="00C04B49" w:rsidRPr="00775EB9" w:rsidRDefault="00C04B49" w:rsidP="00C04B49">
      <w:pPr>
        <w:rPr>
          <w:lang w:val="fr-FR"/>
        </w:rPr>
      </w:pPr>
    </w:p>
    <w:p w14:paraId="29A3DCE2" w14:textId="77777777" w:rsidR="00C20515" w:rsidRPr="00775EB9" w:rsidRDefault="00345FEB" w:rsidP="00C20515">
      <w:pPr>
        <w:keepNext/>
        <w:jc w:val="center"/>
        <w:rPr>
          <w:lang w:val="fr-FR"/>
        </w:rPr>
      </w:pPr>
      <w:r w:rsidRPr="00775EB9">
        <w:rPr>
          <w:noProof/>
          <w:lang w:val="en-US"/>
        </w:rPr>
        <w:drawing>
          <wp:inline distT="0" distB="0" distL="0" distR="0" wp14:anchorId="29A3DCF7" wp14:editId="29A3DCF8">
            <wp:extent cx="4795200" cy="4075200"/>
            <wp:effectExtent l="0" t="0" r="571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ni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5200" cy="40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3DCE3" w14:textId="77777777" w:rsidR="00C20515" w:rsidRPr="00775EB9" w:rsidRDefault="00C20515" w:rsidP="00C20515">
      <w:pPr>
        <w:keepNext/>
        <w:jc w:val="center"/>
        <w:rPr>
          <w:lang w:val="fr-FR"/>
        </w:rPr>
      </w:pPr>
    </w:p>
    <w:p w14:paraId="29A3DCE4" w14:textId="6B08FEC8" w:rsidR="00312451" w:rsidRPr="00775EB9" w:rsidRDefault="00C20515" w:rsidP="00C20515">
      <w:pPr>
        <w:pStyle w:val="Caption"/>
        <w:rPr>
          <w:lang w:val="fr-FR"/>
        </w:rPr>
      </w:pPr>
      <w:bookmarkStart w:id="5" w:name="_Ref359505315"/>
      <w:r w:rsidRPr="00775EB9">
        <w:rPr>
          <w:lang w:val="fr-FR"/>
        </w:rPr>
        <w:t xml:space="preserve">Figure </w:t>
      </w:r>
      <w:r w:rsidR="00583CDF" w:rsidRPr="00775EB9">
        <w:rPr>
          <w:lang w:val="fr-FR"/>
        </w:rPr>
        <w:fldChar w:fldCharType="begin"/>
      </w:r>
      <w:r w:rsidR="00583CDF" w:rsidRPr="00775EB9">
        <w:rPr>
          <w:lang w:val="fr-FR"/>
        </w:rPr>
        <w:instrText xml:space="preserve"> SEQ Figure \* ARABIC </w:instrText>
      </w:r>
      <w:r w:rsidR="00583CDF" w:rsidRPr="00775EB9">
        <w:rPr>
          <w:lang w:val="fr-FR"/>
        </w:rPr>
        <w:fldChar w:fldCharType="separate"/>
      </w:r>
      <w:r w:rsidR="00F064F5">
        <w:rPr>
          <w:noProof/>
          <w:lang w:val="fr-FR"/>
        </w:rPr>
        <w:t>2</w:t>
      </w:r>
      <w:r w:rsidR="00583CDF" w:rsidRPr="00775EB9">
        <w:rPr>
          <w:noProof/>
          <w:lang w:val="fr-FR"/>
        </w:rPr>
        <w:fldChar w:fldCharType="end"/>
      </w:r>
      <w:bookmarkEnd w:id="5"/>
      <w:r w:rsidRPr="00775EB9">
        <w:rPr>
          <w:lang w:val="fr-FR"/>
        </w:rPr>
        <w:t xml:space="preserve"> </w:t>
      </w:r>
      <w:r w:rsidR="005957BC" w:rsidRPr="00775EB9">
        <w:rPr>
          <w:lang w:val="fr-FR"/>
        </w:rPr>
        <w:t>–</w:t>
      </w:r>
      <w:r w:rsidRPr="00775EB9">
        <w:rPr>
          <w:lang w:val="fr-FR"/>
        </w:rPr>
        <w:t xml:space="preserve"> </w:t>
      </w:r>
      <w:r w:rsidR="005957BC" w:rsidRPr="00775EB9">
        <w:rPr>
          <w:lang w:val="fr-FR"/>
        </w:rPr>
        <w:t>Un pied à coulisse dont les</w:t>
      </w:r>
      <w:r w:rsidRPr="00775EB9">
        <w:rPr>
          <w:lang w:val="fr-FR"/>
        </w:rPr>
        <w:t xml:space="preserve"> 20 divisions</w:t>
      </w:r>
      <w:r w:rsidR="005957BC" w:rsidRPr="00775EB9">
        <w:rPr>
          <w:lang w:val="fr-FR"/>
        </w:rPr>
        <w:t xml:space="preserve"> du vernier couvrent la même distance </w:t>
      </w:r>
      <w:r w:rsidR="005957BC" w:rsidRPr="00775EB9">
        <w:rPr>
          <w:lang w:val="fr-FR"/>
        </w:rPr>
        <w:br/>
        <w:t xml:space="preserve">que </w:t>
      </w:r>
      <w:r w:rsidRPr="00775EB9">
        <w:rPr>
          <w:lang w:val="fr-FR"/>
        </w:rPr>
        <w:t xml:space="preserve">39 divisions </w:t>
      </w:r>
      <w:r w:rsidR="005957BC" w:rsidRPr="00775EB9">
        <w:rPr>
          <w:lang w:val="fr-FR"/>
        </w:rPr>
        <w:t>de l’échelle principale</w:t>
      </w:r>
      <w:r w:rsidRPr="00775EB9">
        <w:rPr>
          <w:lang w:val="fr-FR"/>
        </w:rPr>
        <w:t>.</w:t>
      </w:r>
    </w:p>
    <w:p w14:paraId="29A3DCE5" w14:textId="77777777" w:rsidR="00312451" w:rsidRPr="00775EB9" w:rsidRDefault="00312451" w:rsidP="00312451">
      <w:pPr>
        <w:jc w:val="center"/>
        <w:rPr>
          <w:lang w:val="fr-FR"/>
        </w:rPr>
      </w:pPr>
    </w:p>
    <w:p w14:paraId="29A3DCE6" w14:textId="77777777" w:rsidR="00A11272" w:rsidRPr="00775EB9" w:rsidRDefault="00424AF9" w:rsidP="00526597">
      <w:pPr>
        <w:pStyle w:val="Heading3"/>
        <w:rPr>
          <w:lang w:val="fr-FR"/>
        </w:rPr>
      </w:pPr>
      <w:r w:rsidRPr="00775EB9">
        <w:rPr>
          <w:lang w:val="fr-FR"/>
        </w:rPr>
        <w:lastRenderedPageBreak/>
        <w:t>Le micromètre</w:t>
      </w:r>
    </w:p>
    <w:p w14:paraId="29A3DCE7" w14:textId="77777777" w:rsidR="00424AF9" w:rsidRPr="00775EB9" w:rsidRDefault="00424AF9" w:rsidP="00424AF9">
      <w:pPr>
        <w:rPr>
          <w:lang w:val="fr-FR"/>
        </w:rPr>
      </w:pPr>
      <w:r w:rsidRPr="00775EB9">
        <w:rPr>
          <w:lang w:val="fr-FR"/>
        </w:rPr>
        <w:t xml:space="preserve">Le micromètre sert à mesurer des objets suffisamment petits pour être insérés entre ses mâchoires, ce qui correspond habituellement à 25mm au maximum. Le micromètre a une précision d’environ 0,01 mm comparé à 0,05 mm pour le pied à coulisse. </w:t>
      </w:r>
    </w:p>
    <w:p w14:paraId="29A3DCE8" w14:textId="77777777" w:rsidR="00424AF9" w:rsidRPr="00775EB9" w:rsidRDefault="00424AF9" w:rsidP="00424AF9">
      <w:pPr>
        <w:rPr>
          <w:lang w:val="fr-FR"/>
        </w:rPr>
      </w:pPr>
    </w:p>
    <w:p w14:paraId="29A3DCE9" w14:textId="60AA3FF8" w:rsidR="00424AF9" w:rsidRPr="00775EB9" w:rsidRDefault="00424AF9" w:rsidP="00424AF9">
      <w:pPr>
        <w:rPr>
          <w:lang w:val="fr-FR"/>
        </w:rPr>
      </w:pPr>
      <w:r w:rsidRPr="00775EB9">
        <w:rPr>
          <w:lang w:val="fr-FR"/>
        </w:rPr>
        <w:t xml:space="preserve">Deux tours complets du tambour produisent un déplacement linéaire de l’axe de 1mm (voir la </w:t>
      </w:r>
      <w:r w:rsidRPr="00775EB9">
        <w:rPr>
          <w:rStyle w:val="CrossRefChar"/>
          <w:lang w:val="fr-FR"/>
        </w:rPr>
        <w:fldChar w:fldCharType="begin"/>
      </w:r>
      <w:r w:rsidRPr="00775EB9">
        <w:rPr>
          <w:rStyle w:val="CrossRefChar"/>
          <w:lang w:val="fr-FR"/>
        </w:rPr>
        <w:instrText xml:space="preserve"> REF _Ref361736772 \h  \* MERGEFORMAT </w:instrText>
      </w:r>
      <w:r w:rsidRPr="00775EB9">
        <w:rPr>
          <w:rStyle w:val="CrossRefChar"/>
          <w:lang w:val="fr-FR"/>
        </w:rPr>
      </w:r>
      <w:r w:rsidRPr="00775EB9">
        <w:rPr>
          <w:rStyle w:val="CrossRefChar"/>
          <w:lang w:val="fr-FR"/>
        </w:rPr>
        <w:fldChar w:fldCharType="separate"/>
      </w:r>
      <w:r w:rsidR="00F064F5" w:rsidRPr="00F064F5">
        <w:rPr>
          <w:rStyle w:val="CrossRefChar"/>
          <w:lang w:val="fr-FR"/>
        </w:rPr>
        <w:t>Figure 3</w:t>
      </w:r>
      <w:r w:rsidRPr="00775EB9">
        <w:rPr>
          <w:rStyle w:val="CrossRefChar"/>
          <w:lang w:val="fr-FR"/>
        </w:rPr>
        <w:fldChar w:fldCharType="end"/>
      </w:r>
      <w:r w:rsidRPr="00775EB9">
        <w:rPr>
          <w:lang w:val="fr-FR"/>
        </w:rPr>
        <w:t>). Puisque le périmètre du tambour est divisé en 50 parties égales, chaque division correspond à un déplacement linéaire de 0,01mm. Le déplacement linéaire est déduit à l’aide de l’échelle allant de 0 à 25mm par pas de 5mm indiquée sur la chemise. Le rochet sert à limiter la pression sur l’objet à mesurer. Le zéro devrait être vérifié et noté avant de prendre des mesures.</w:t>
      </w:r>
    </w:p>
    <w:p w14:paraId="29A3DCEA" w14:textId="77777777" w:rsidR="004707A6" w:rsidRPr="00775EB9" w:rsidRDefault="004707A6" w:rsidP="00CD2994">
      <w:pPr>
        <w:rPr>
          <w:lang w:val="fr-FR"/>
        </w:rPr>
      </w:pPr>
    </w:p>
    <w:p w14:paraId="29A3DCEB" w14:textId="77777777" w:rsidR="00A32ACD" w:rsidRPr="00775EB9" w:rsidRDefault="004707A6" w:rsidP="00A32ACD">
      <w:pPr>
        <w:keepNext/>
        <w:jc w:val="center"/>
        <w:rPr>
          <w:lang w:val="fr-FR"/>
        </w:rPr>
      </w:pPr>
      <w:r w:rsidRPr="00775EB9">
        <w:rPr>
          <w:noProof/>
          <w:lang w:val="en-US"/>
        </w:rPr>
        <w:drawing>
          <wp:inline distT="0" distB="0" distL="0" distR="0" wp14:anchorId="29A3DCF9" wp14:editId="29A3DCFA">
            <wp:extent cx="5310000" cy="1990800"/>
            <wp:effectExtent l="0" t="0" r="508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romet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0000" cy="19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3DCEC" w14:textId="77777777" w:rsidR="00A32ACD" w:rsidRPr="00775EB9" w:rsidRDefault="00A32ACD" w:rsidP="00A32ACD">
      <w:pPr>
        <w:keepNext/>
        <w:jc w:val="center"/>
        <w:rPr>
          <w:lang w:val="fr-FR"/>
        </w:rPr>
      </w:pPr>
    </w:p>
    <w:p w14:paraId="29A3DCED" w14:textId="577E3188" w:rsidR="00A32ACD" w:rsidRPr="00775EB9" w:rsidRDefault="00A32ACD" w:rsidP="004B34B6">
      <w:pPr>
        <w:pStyle w:val="Caption"/>
        <w:rPr>
          <w:lang w:val="fr-FR"/>
        </w:rPr>
      </w:pPr>
      <w:bookmarkStart w:id="6" w:name="_Ref361736772"/>
      <w:r w:rsidRPr="00775EB9">
        <w:rPr>
          <w:lang w:val="fr-FR"/>
        </w:rPr>
        <w:t xml:space="preserve">Figure </w:t>
      </w:r>
      <w:r w:rsidR="00583CDF" w:rsidRPr="00775EB9">
        <w:rPr>
          <w:lang w:val="fr-FR"/>
        </w:rPr>
        <w:fldChar w:fldCharType="begin"/>
      </w:r>
      <w:r w:rsidR="00583CDF" w:rsidRPr="00775EB9">
        <w:rPr>
          <w:lang w:val="fr-FR"/>
        </w:rPr>
        <w:instrText xml:space="preserve"> SEQ Figure \* ARABIC </w:instrText>
      </w:r>
      <w:r w:rsidR="00583CDF" w:rsidRPr="00775EB9">
        <w:rPr>
          <w:lang w:val="fr-FR"/>
        </w:rPr>
        <w:fldChar w:fldCharType="separate"/>
      </w:r>
      <w:r w:rsidR="00F064F5">
        <w:rPr>
          <w:noProof/>
          <w:lang w:val="fr-FR"/>
        </w:rPr>
        <w:t>3</w:t>
      </w:r>
      <w:r w:rsidR="00583CDF" w:rsidRPr="00775EB9">
        <w:rPr>
          <w:noProof/>
          <w:lang w:val="fr-FR"/>
        </w:rPr>
        <w:fldChar w:fldCharType="end"/>
      </w:r>
      <w:bookmarkEnd w:id="6"/>
      <w:r w:rsidRPr="00775EB9">
        <w:rPr>
          <w:lang w:val="fr-FR"/>
        </w:rPr>
        <w:t xml:space="preserve"> </w:t>
      </w:r>
      <w:r w:rsidR="00424AF9" w:rsidRPr="00775EB9">
        <w:rPr>
          <w:lang w:val="fr-FR"/>
        </w:rPr>
        <w:t>–</w:t>
      </w:r>
      <w:r w:rsidRPr="00775EB9">
        <w:rPr>
          <w:lang w:val="fr-FR"/>
        </w:rPr>
        <w:t xml:space="preserve"> </w:t>
      </w:r>
      <w:r w:rsidR="00424AF9" w:rsidRPr="00775EB9">
        <w:rPr>
          <w:lang w:val="fr-FR"/>
        </w:rPr>
        <w:t>Le micromètre</w:t>
      </w:r>
      <w:r w:rsidRPr="00775EB9">
        <w:rPr>
          <w:lang w:val="fr-FR"/>
        </w:rPr>
        <w:t xml:space="preserve">.  </w:t>
      </w:r>
      <w:r w:rsidR="00424AF9" w:rsidRPr="00775EB9">
        <w:rPr>
          <w:lang w:val="fr-FR"/>
        </w:rPr>
        <w:t>Deux tours complets du tambour produisent un déplacement linéaire de l’axe de 1mm</w:t>
      </w:r>
      <w:r w:rsidRPr="00775EB9">
        <w:rPr>
          <w:lang w:val="fr-FR"/>
        </w:rPr>
        <w:t xml:space="preserve">. </w:t>
      </w:r>
      <w:r w:rsidR="004B34B6">
        <w:rPr>
          <w:lang w:val="fr-FR"/>
        </w:rPr>
        <w:br/>
      </w:r>
    </w:p>
    <w:p w14:paraId="29A3DCEE" w14:textId="77777777" w:rsidR="00A11272" w:rsidRPr="0096565A" w:rsidRDefault="00A11272" w:rsidP="0096565A">
      <w:pPr>
        <w:jc w:val="left"/>
        <w:rPr>
          <w:lang w:val="fr-FR"/>
        </w:rPr>
      </w:pPr>
    </w:p>
    <w:sectPr w:rsidR="00A11272" w:rsidRPr="0096565A" w:rsidSect="00B35265">
      <w:footerReference w:type="default" r:id="rId14"/>
      <w:footnotePr>
        <w:numRestart w:val="eachSect"/>
      </w:footnote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3DCFD" w14:textId="77777777" w:rsidR="00DF0A46" w:rsidRDefault="00DF0A46" w:rsidP="00D04310">
      <w:r>
        <w:separator/>
      </w:r>
    </w:p>
  </w:endnote>
  <w:endnote w:type="continuationSeparator" w:id="0">
    <w:p w14:paraId="29A3DCFE" w14:textId="77777777" w:rsidR="00DF0A46" w:rsidRDefault="00DF0A46" w:rsidP="00D0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810"/>
      <w:gridCol w:w="766"/>
    </w:tblGrid>
    <w:tr w:rsidR="00DF0A46" w14:paraId="29A3DD01" w14:textId="77777777" w:rsidTr="00A610E2">
      <w:tc>
        <w:tcPr>
          <w:tcW w:w="4600" w:type="pct"/>
          <w:tcBorders>
            <w:top w:val="single" w:sz="4" w:space="0" w:color="auto"/>
            <w:right w:val="nil"/>
          </w:tcBorders>
        </w:tcPr>
        <w:p w14:paraId="29A3DCFF" w14:textId="79628346" w:rsidR="00DF0A46" w:rsidRPr="004677E7" w:rsidRDefault="008E1EB9" w:rsidP="007649D1">
          <w:pPr>
            <w:pStyle w:val="Footer"/>
            <w:jc w:val="left"/>
          </w:pPr>
          <w:r>
            <w:fldChar w:fldCharType="begin"/>
          </w:r>
          <w:r>
            <w:instrText xml:space="preserve"> REF _Ref358967577 \h </w:instrText>
          </w:r>
          <w:r>
            <w:fldChar w:fldCharType="separate"/>
          </w:r>
          <w:r w:rsidR="00F064F5" w:rsidRPr="00775EB9">
            <w:rPr>
              <w:lang w:val="fr-FR"/>
            </w:rPr>
            <w:t>Tutoriel – Techniques de mesure</w:t>
          </w:r>
          <w:r>
            <w:fldChar w:fldCharType="end"/>
          </w:r>
        </w:p>
      </w:tc>
      <w:tc>
        <w:tcPr>
          <w:tcW w:w="400" w:type="pct"/>
          <w:tcBorders>
            <w:top w:val="single" w:sz="4" w:space="0" w:color="auto"/>
            <w:left w:val="nil"/>
          </w:tcBorders>
        </w:tcPr>
        <w:p w14:paraId="29A3DD00" w14:textId="5A291CC0" w:rsidR="00DF0A46" w:rsidRPr="00A610E2" w:rsidRDefault="00DF0A46" w:rsidP="00A610E2">
          <w:pPr>
            <w:pStyle w:val="Footer"/>
            <w:jc w:val="right"/>
            <w:rPr>
              <w:color w:val="auto"/>
            </w:rPr>
          </w:pPr>
          <w:r w:rsidRPr="00A610E2">
            <w:rPr>
              <w:color w:val="auto"/>
            </w:rPr>
            <w:fldChar w:fldCharType="begin"/>
          </w:r>
          <w:r w:rsidRPr="00A610E2">
            <w:rPr>
              <w:color w:val="auto"/>
            </w:rPr>
            <w:instrText xml:space="preserve"> PAGE   \* MERGEFORMAT </w:instrText>
          </w:r>
          <w:r w:rsidRPr="00A610E2">
            <w:rPr>
              <w:color w:val="auto"/>
            </w:rPr>
            <w:fldChar w:fldCharType="separate"/>
          </w:r>
          <w:r w:rsidR="00F064F5" w:rsidRPr="00F064F5">
            <w:rPr>
              <w:bCs/>
              <w:noProof/>
              <w:color w:val="auto"/>
            </w:rPr>
            <w:t>3</w:t>
          </w:r>
          <w:r w:rsidRPr="00A610E2">
            <w:rPr>
              <w:bCs/>
              <w:noProof/>
              <w:color w:val="auto"/>
            </w:rPr>
            <w:fldChar w:fldCharType="end"/>
          </w:r>
        </w:p>
      </w:tc>
    </w:tr>
  </w:tbl>
  <w:p w14:paraId="29A3DD02" w14:textId="77777777" w:rsidR="00DF0A46" w:rsidRDefault="00DF0A46" w:rsidP="00D04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3DCFB" w14:textId="77777777" w:rsidR="00DF0A46" w:rsidRDefault="00DF0A46" w:rsidP="00D04310">
      <w:r>
        <w:separator/>
      </w:r>
    </w:p>
  </w:footnote>
  <w:footnote w:type="continuationSeparator" w:id="0">
    <w:p w14:paraId="29A3DCFC" w14:textId="77777777" w:rsidR="00DF0A46" w:rsidRDefault="00DF0A46" w:rsidP="00D04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645F"/>
    <w:multiLevelType w:val="hybridMultilevel"/>
    <w:tmpl w:val="D2301272"/>
    <w:lvl w:ilvl="0" w:tplc="28A80F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151B7"/>
    <w:multiLevelType w:val="hybridMultilevel"/>
    <w:tmpl w:val="57BC1A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71332"/>
    <w:multiLevelType w:val="hybridMultilevel"/>
    <w:tmpl w:val="12BAC5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2489A"/>
    <w:multiLevelType w:val="hybridMultilevel"/>
    <w:tmpl w:val="DF7AE4E0"/>
    <w:lvl w:ilvl="0" w:tplc="0BBEB92C">
      <w:start w:val="1"/>
      <w:numFmt w:val="decimal"/>
      <w:lvlText w:val="Step %1."/>
      <w:lvlJc w:val="right"/>
      <w:pPr>
        <w:ind w:left="720" w:hanging="360"/>
      </w:pPr>
      <w:rPr>
        <w:rFonts w:hint="default"/>
        <w:b w:val="0"/>
        <w:i/>
        <w:caps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F427E"/>
    <w:multiLevelType w:val="hybridMultilevel"/>
    <w:tmpl w:val="5B181D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12136"/>
    <w:multiLevelType w:val="hybridMultilevel"/>
    <w:tmpl w:val="9238D7F2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D1DF7"/>
    <w:multiLevelType w:val="hybridMultilevel"/>
    <w:tmpl w:val="A6B4B2D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81CA2"/>
    <w:multiLevelType w:val="hybridMultilevel"/>
    <w:tmpl w:val="9836F0CA"/>
    <w:lvl w:ilvl="0" w:tplc="FC8E6178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5B3D7" w:themeColor="accent1" w:themeTint="99"/>
        <w14:numSpacing w14:val="tabular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0D5020"/>
    <w:multiLevelType w:val="hybridMultilevel"/>
    <w:tmpl w:val="296C73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774FD"/>
    <w:multiLevelType w:val="hybridMultilevel"/>
    <w:tmpl w:val="A93CD2FE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256A1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D75E2E"/>
    <w:multiLevelType w:val="hybridMultilevel"/>
    <w:tmpl w:val="CE5663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375E2"/>
    <w:multiLevelType w:val="hybridMultilevel"/>
    <w:tmpl w:val="645A2D7A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717D4"/>
    <w:multiLevelType w:val="hybridMultilevel"/>
    <w:tmpl w:val="C478A1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86728"/>
    <w:multiLevelType w:val="multilevel"/>
    <w:tmpl w:val="BC6C11B2"/>
    <w:lvl w:ilvl="0">
      <w:start w:val="1"/>
      <w:numFmt w:val="decimal"/>
      <w:lvlText w:val="Step %1."/>
      <w:lvlJc w:val="center"/>
      <w:pPr>
        <w:ind w:left="720" w:hanging="360"/>
      </w:pPr>
      <w:rPr>
        <w:rFonts w:ascii="Calibri" w:hAnsi="Calibri" w:hint="default"/>
        <w:b w:val="0"/>
        <w:i/>
        <w:caps w:val="0"/>
        <w:color w:val="95B3D7" w:themeColor="accent1" w:themeTint="99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A46F1"/>
    <w:multiLevelType w:val="hybridMultilevel"/>
    <w:tmpl w:val="B980F638"/>
    <w:lvl w:ilvl="0" w:tplc="1009000F">
      <w:start w:val="1"/>
      <w:numFmt w:val="decimal"/>
      <w:lvlText w:val="%1."/>
      <w:lvlJc w:val="left"/>
      <w:pPr>
        <w:ind w:left="764" w:hanging="360"/>
      </w:pPr>
    </w:lvl>
    <w:lvl w:ilvl="1" w:tplc="10090019" w:tentative="1">
      <w:start w:val="1"/>
      <w:numFmt w:val="lowerLetter"/>
      <w:lvlText w:val="%2."/>
      <w:lvlJc w:val="left"/>
      <w:pPr>
        <w:ind w:left="1484" w:hanging="360"/>
      </w:pPr>
    </w:lvl>
    <w:lvl w:ilvl="2" w:tplc="1009001B" w:tentative="1">
      <w:start w:val="1"/>
      <w:numFmt w:val="lowerRoman"/>
      <w:lvlText w:val="%3."/>
      <w:lvlJc w:val="right"/>
      <w:pPr>
        <w:ind w:left="2204" w:hanging="180"/>
      </w:pPr>
    </w:lvl>
    <w:lvl w:ilvl="3" w:tplc="1009000F" w:tentative="1">
      <w:start w:val="1"/>
      <w:numFmt w:val="decimal"/>
      <w:lvlText w:val="%4."/>
      <w:lvlJc w:val="left"/>
      <w:pPr>
        <w:ind w:left="2924" w:hanging="360"/>
      </w:pPr>
    </w:lvl>
    <w:lvl w:ilvl="4" w:tplc="10090019" w:tentative="1">
      <w:start w:val="1"/>
      <w:numFmt w:val="lowerLetter"/>
      <w:lvlText w:val="%5."/>
      <w:lvlJc w:val="left"/>
      <w:pPr>
        <w:ind w:left="3644" w:hanging="360"/>
      </w:pPr>
    </w:lvl>
    <w:lvl w:ilvl="5" w:tplc="1009001B" w:tentative="1">
      <w:start w:val="1"/>
      <w:numFmt w:val="lowerRoman"/>
      <w:lvlText w:val="%6."/>
      <w:lvlJc w:val="right"/>
      <w:pPr>
        <w:ind w:left="4364" w:hanging="180"/>
      </w:pPr>
    </w:lvl>
    <w:lvl w:ilvl="6" w:tplc="1009000F" w:tentative="1">
      <w:start w:val="1"/>
      <w:numFmt w:val="decimal"/>
      <w:lvlText w:val="%7."/>
      <w:lvlJc w:val="left"/>
      <w:pPr>
        <w:ind w:left="5084" w:hanging="360"/>
      </w:pPr>
    </w:lvl>
    <w:lvl w:ilvl="7" w:tplc="10090019" w:tentative="1">
      <w:start w:val="1"/>
      <w:numFmt w:val="lowerLetter"/>
      <w:lvlText w:val="%8."/>
      <w:lvlJc w:val="left"/>
      <w:pPr>
        <w:ind w:left="5804" w:hanging="360"/>
      </w:pPr>
    </w:lvl>
    <w:lvl w:ilvl="8" w:tplc="10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6" w15:restartNumberingAfterBreak="0">
    <w:nsid w:val="60BA081E"/>
    <w:multiLevelType w:val="hybridMultilevel"/>
    <w:tmpl w:val="3566EC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54956"/>
    <w:multiLevelType w:val="hybridMultilevel"/>
    <w:tmpl w:val="CF00ADDC"/>
    <w:lvl w:ilvl="0" w:tplc="D8D615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06C6B"/>
    <w:multiLevelType w:val="hybridMultilevel"/>
    <w:tmpl w:val="1EDC4C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83764"/>
    <w:multiLevelType w:val="hybridMultilevel"/>
    <w:tmpl w:val="6B88D522"/>
    <w:lvl w:ilvl="0" w:tplc="0E86AD56">
      <w:numFmt w:val="bullet"/>
      <w:lvlText w:val="•"/>
      <w:lvlJc w:val="left"/>
      <w:pPr>
        <w:ind w:left="720" w:hanging="360"/>
      </w:pPr>
      <w:rPr>
        <w:rFonts w:ascii="Calibri" w:eastAsiaTheme="minorHAnsi" w:hAnsi="Calibri" w:cs="Times New Roman (TT)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D3174E"/>
    <w:multiLevelType w:val="hybridMultilevel"/>
    <w:tmpl w:val="2F48564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008E0"/>
    <w:multiLevelType w:val="hybridMultilevel"/>
    <w:tmpl w:val="AA82AA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12F71"/>
    <w:multiLevelType w:val="hybridMultilevel"/>
    <w:tmpl w:val="5A6693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B3919"/>
    <w:multiLevelType w:val="hybridMultilevel"/>
    <w:tmpl w:val="418603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525AAC"/>
    <w:multiLevelType w:val="hybridMultilevel"/>
    <w:tmpl w:val="79E852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12563C"/>
    <w:multiLevelType w:val="hybridMultilevel"/>
    <w:tmpl w:val="06286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9"/>
  </w:num>
  <w:num w:numId="5">
    <w:abstractNumId w:val="11"/>
  </w:num>
  <w:num w:numId="6">
    <w:abstractNumId w:val="6"/>
  </w:num>
  <w:num w:numId="7">
    <w:abstractNumId w:val="5"/>
  </w:num>
  <w:num w:numId="8">
    <w:abstractNumId w:val="17"/>
  </w:num>
  <w:num w:numId="9">
    <w:abstractNumId w:val="25"/>
  </w:num>
  <w:num w:numId="10">
    <w:abstractNumId w:val="22"/>
  </w:num>
  <w:num w:numId="11">
    <w:abstractNumId w:val="0"/>
  </w:num>
  <w:num w:numId="12">
    <w:abstractNumId w:val="3"/>
  </w:num>
  <w:num w:numId="13">
    <w:abstractNumId w:val="10"/>
  </w:num>
  <w:num w:numId="14">
    <w:abstractNumId w:val="16"/>
  </w:num>
  <w:num w:numId="15">
    <w:abstractNumId w:val="20"/>
  </w:num>
  <w:num w:numId="16">
    <w:abstractNumId w:val="24"/>
  </w:num>
  <w:num w:numId="17">
    <w:abstractNumId w:val="14"/>
  </w:num>
  <w:num w:numId="18">
    <w:abstractNumId w:val="7"/>
  </w:num>
  <w:num w:numId="19">
    <w:abstractNumId w:val="2"/>
  </w:num>
  <w:num w:numId="20">
    <w:abstractNumId w:val="21"/>
  </w:num>
  <w:num w:numId="21">
    <w:abstractNumId w:val="13"/>
  </w:num>
  <w:num w:numId="22">
    <w:abstractNumId w:val="18"/>
  </w:num>
  <w:num w:numId="23">
    <w:abstractNumId w:val="4"/>
  </w:num>
  <w:num w:numId="24">
    <w:abstractNumId w:val="23"/>
  </w:num>
  <w:num w:numId="25">
    <w:abstractNumId w:val="19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3891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8A"/>
    <w:rsid w:val="00005AEC"/>
    <w:rsid w:val="00006C72"/>
    <w:rsid w:val="000143D0"/>
    <w:rsid w:val="000160ED"/>
    <w:rsid w:val="0002699F"/>
    <w:rsid w:val="0003016D"/>
    <w:rsid w:val="00030592"/>
    <w:rsid w:val="00035867"/>
    <w:rsid w:val="00037E2A"/>
    <w:rsid w:val="00042754"/>
    <w:rsid w:val="00043246"/>
    <w:rsid w:val="00045497"/>
    <w:rsid w:val="0004637E"/>
    <w:rsid w:val="00053B41"/>
    <w:rsid w:val="00066774"/>
    <w:rsid w:val="00074BEC"/>
    <w:rsid w:val="00076985"/>
    <w:rsid w:val="00081343"/>
    <w:rsid w:val="00082F0B"/>
    <w:rsid w:val="00087D5B"/>
    <w:rsid w:val="000909E2"/>
    <w:rsid w:val="0009587E"/>
    <w:rsid w:val="000978A1"/>
    <w:rsid w:val="000A1594"/>
    <w:rsid w:val="000A53F9"/>
    <w:rsid w:val="000B3373"/>
    <w:rsid w:val="000C1C03"/>
    <w:rsid w:val="000C5F5E"/>
    <w:rsid w:val="000E55BE"/>
    <w:rsid w:val="000F0847"/>
    <w:rsid w:val="000F1D74"/>
    <w:rsid w:val="000F5901"/>
    <w:rsid w:val="000F6ADF"/>
    <w:rsid w:val="000F7D4C"/>
    <w:rsid w:val="001148D5"/>
    <w:rsid w:val="00117D70"/>
    <w:rsid w:val="00130007"/>
    <w:rsid w:val="00130850"/>
    <w:rsid w:val="00131250"/>
    <w:rsid w:val="00131679"/>
    <w:rsid w:val="00133383"/>
    <w:rsid w:val="00134554"/>
    <w:rsid w:val="00156A57"/>
    <w:rsid w:val="00160105"/>
    <w:rsid w:val="0016024C"/>
    <w:rsid w:val="00161591"/>
    <w:rsid w:val="0016287D"/>
    <w:rsid w:val="001646BD"/>
    <w:rsid w:val="00165E1F"/>
    <w:rsid w:val="00167BA7"/>
    <w:rsid w:val="00174962"/>
    <w:rsid w:val="001821B5"/>
    <w:rsid w:val="001A21B0"/>
    <w:rsid w:val="001A6E6F"/>
    <w:rsid w:val="001B5EC4"/>
    <w:rsid w:val="00210680"/>
    <w:rsid w:val="00217E54"/>
    <w:rsid w:val="00222807"/>
    <w:rsid w:val="002262AF"/>
    <w:rsid w:val="00226311"/>
    <w:rsid w:val="00236936"/>
    <w:rsid w:val="002371B8"/>
    <w:rsid w:val="00244E47"/>
    <w:rsid w:val="00255AA7"/>
    <w:rsid w:val="00257A36"/>
    <w:rsid w:val="00284686"/>
    <w:rsid w:val="002853C6"/>
    <w:rsid w:val="002903A6"/>
    <w:rsid w:val="0029709D"/>
    <w:rsid w:val="002A0537"/>
    <w:rsid w:val="002A326B"/>
    <w:rsid w:val="002A413B"/>
    <w:rsid w:val="002A51BC"/>
    <w:rsid w:val="002B3D31"/>
    <w:rsid w:val="002B56BF"/>
    <w:rsid w:val="002B56F6"/>
    <w:rsid w:val="002C2B86"/>
    <w:rsid w:val="002C39FD"/>
    <w:rsid w:val="002D1DCA"/>
    <w:rsid w:val="002D3C8A"/>
    <w:rsid w:val="002D73A6"/>
    <w:rsid w:val="002E290A"/>
    <w:rsid w:val="002E3CE5"/>
    <w:rsid w:val="002E558A"/>
    <w:rsid w:val="002E5E27"/>
    <w:rsid w:val="002F1666"/>
    <w:rsid w:val="002F23E0"/>
    <w:rsid w:val="002F6683"/>
    <w:rsid w:val="00302795"/>
    <w:rsid w:val="0030300F"/>
    <w:rsid w:val="00306617"/>
    <w:rsid w:val="0031213E"/>
    <w:rsid w:val="003121A6"/>
    <w:rsid w:val="00312451"/>
    <w:rsid w:val="00314DA2"/>
    <w:rsid w:val="00317D38"/>
    <w:rsid w:val="00321AF5"/>
    <w:rsid w:val="003335E4"/>
    <w:rsid w:val="00336DED"/>
    <w:rsid w:val="00340B5C"/>
    <w:rsid w:val="00343D55"/>
    <w:rsid w:val="00345FEB"/>
    <w:rsid w:val="00346871"/>
    <w:rsid w:val="00346B32"/>
    <w:rsid w:val="0035479B"/>
    <w:rsid w:val="00356D06"/>
    <w:rsid w:val="00357516"/>
    <w:rsid w:val="00361F92"/>
    <w:rsid w:val="00374BE6"/>
    <w:rsid w:val="00384283"/>
    <w:rsid w:val="00387032"/>
    <w:rsid w:val="00391DAF"/>
    <w:rsid w:val="0039511B"/>
    <w:rsid w:val="00397DF2"/>
    <w:rsid w:val="003A19D8"/>
    <w:rsid w:val="003A286F"/>
    <w:rsid w:val="003A70D2"/>
    <w:rsid w:val="003C15EF"/>
    <w:rsid w:val="003C2A27"/>
    <w:rsid w:val="003C3E64"/>
    <w:rsid w:val="003D0FBF"/>
    <w:rsid w:val="003D7ECA"/>
    <w:rsid w:val="003E23EB"/>
    <w:rsid w:val="004027F2"/>
    <w:rsid w:val="004029FD"/>
    <w:rsid w:val="0040439E"/>
    <w:rsid w:val="00405D3C"/>
    <w:rsid w:val="004100AE"/>
    <w:rsid w:val="0041734D"/>
    <w:rsid w:val="00424AF9"/>
    <w:rsid w:val="0043712C"/>
    <w:rsid w:val="004551D2"/>
    <w:rsid w:val="0045629F"/>
    <w:rsid w:val="00463AB9"/>
    <w:rsid w:val="00464636"/>
    <w:rsid w:val="00465B5A"/>
    <w:rsid w:val="00465F79"/>
    <w:rsid w:val="004677E7"/>
    <w:rsid w:val="004707A6"/>
    <w:rsid w:val="00483904"/>
    <w:rsid w:val="00483D0B"/>
    <w:rsid w:val="00486C75"/>
    <w:rsid w:val="004936DA"/>
    <w:rsid w:val="0049376D"/>
    <w:rsid w:val="00493BBA"/>
    <w:rsid w:val="004B2DA6"/>
    <w:rsid w:val="004B34B6"/>
    <w:rsid w:val="004E389D"/>
    <w:rsid w:val="004E633D"/>
    <w:rsid w:val="004F634C"/>
    <w:rsid w:val="004F7E5C"/>
    <w:rsid w:val="00507167"/>
    <w:rsid w:val="00514193"/>
    <w:rsid w:val="005167CE"/>
    <w:rsid w:val="0052422E"/>
    <w:rsid w:val="00526597"/>
    <w:rsid w:val="00536957"/>
    <w:rsid w:val="005413DE"/>
    <w:rsid w:val="00550682"/>
    <w:rsid w:val="00554189"/>
    <w:rsid w:val="00564650"/>
    <w:rsid w:val="00567637"/>
    <w:rsid w:val="00572269"/>
    <w:rsid w:val="0057442B"/>
    <w:rsid w:val="005749D9"/>
    <w:rsid w:val="00583CDF"/>
    <w:rsid w:val="00585FC3"/>
    <w:rsid w:val="00592093"/>
    <w:rsid w:val="00595404"/>
    <w:rsid w:val="005957BC"/>
    <w:rsid w:val="00596045"/>
    <w:rsid w:val="005A128E"/>
    <w:rsid w:val="005B71E4"/>
    <w:rsid w:val="005C3BDB"/>
    <w:rsid w:val="005C54B4"/>
    <w:rsid w:val="005C6288"/>
    <w:rsid w:val="005D1097"/>
    <w:rsid w:val="005D20B1"/>
    <w:rsid w:val="005D3A98"/>
    <w:rsid w:val="005D69C7"/>
    <w:rsid w:val="005E6481"/>
    <w:rsid w:val="005F0D6D"/>
    <w:rsid w:val="005F3A6B"/>
    <w:rsid w:val="006024EA"/>
    <w:rsid w:val="00602AAD"/>
    <w:rsid w:val="006233D2"/>
    <w:rsid w:val="00625AED"/>
    <w:rsid w:val="006516C1"/>
    <w:rsid w:val="006537A1"/>
    <w:rsid w:val="00662BAA"/>
    <w:rsid w:val="0066771A"/>
    <w:rsid w:val="00673FC5"/>
    <w:rsid w:val="00681EE3"/>
    <w:rsid w:val="00682C46"/>
    <w:rsid w:val="00693B4A"/>
    <w:rsid w:val="00694F97"/>
    <w:rsid w:val="0069541A"/>
    <w:rsid w:val="00697082"/>
    <w:rsid w:val="00697529"/>
    <w:rsid w:val="006A1F9E"/>
    <w:rsid w:val="006A222A"/>
    <w:rsid w:val="006B43BC"/>
    <w:rsid w:val="006C07BD"/>
    <w:rsid w:val="006C21C5"/>
    <w:rsid w:val="006D0E09"/>
    <w:rsid w:val="006D149F"/>
    <w:rsid w:val="006D59CB"/>
    <w:rsid w:val="006E565F"/>
    <w:rsid w:val="006F79D0"/>
    <w:rsid w:val="0070312F"/>
    <w:rsid w:val="007243AA"/>
    <w:rsid w:val="00735BFA"/>
    <w:rsid w:val="00736A45"/>
    <w:rsid w:val="00745631"/>
    <w:rsid w:val="00745E2A"/>
    <w:rsid w:val="00747A75"/>
    <w:rsid w:val="007519A5"/>
    <w:rsid w:val="007572F0"/>
    <w:rsid w:val="007649D1"/>
    <w:rsid w:val="00775EB9"/>
    <w:rsid w:val="007829A7"/>
    <w:rsid w:val="00785812"/>
    <w:rsid w:val="00787434"/>
    <w:rsid w:val="007920D2"/>
    <w:rsid w:val="00792A97"/>
    <w:rsid w:val="00797AB3"/>
    <w:rsid w:val="00797DFF"/>
    <w:rsid w:val="007A0E6C"/>
    <w:rsid w:val="007A1AF3"/>
    <w:rsid w:val="007B387A"/>
    <w:rsid w:val="007B3AC0"/>
    <w:rsid w:val="007B6E4F"/>
    <w:rsid w:val="007C01B3"/>
    <w:rsid w:val="007C6740"/>
    <w:rsid w:val="007D0BA2"/>
    <w:rsid w:val="007D2FAF"/>
    <w:rsid w:val="007E384D"/>
    <w:rsid w:val="007F73C2"/>
    <w:rsid w:val="0080111B"/>
    <w:rsid w:val="00803ED8"/>
    <w:rsid w:val="00805293"/>
    <w:rsid w:val="008065CD"/>
    <w:rsid w:val="0081789A"/>
    <w:rsid w:val="00844204"/>
    <w:rsid w:val="00850008"/>
    <w:rsid w:val="00856FFB"/>
    <w:rsid w:val="0086010D"/>
    <w:rsid w:val="008809B7"/>
    <w:rsid w:val="0088213C"/>
    <w:rsid w:val="008847AC"/>
    <w:rsid w:val="00892F5C"/>
    <w:rsid w:val="008A0654"/>
    <w:rsid w:val="008A0D57"/>
    <w:rsid w:val="008A3A4F"/>
    <w:rsid w:val="008D0C0D"/>
    <w:rsid w:val="008D10CF"/>
    <w:rsid w:val="008D4572"/>
    <w:rsid w:val="008E153E"/>
    <w:rsid w:val="008E1EB9"/>
    <w:rsid w:val="008E6C03"/>
    <w:rsid w:val="008F5320"/>
    <w:rsid w:val="009067EA"/>
    <w:rsid w:val="009075F9"/>
    <w:rsid w:val="00917164"/>
    <w:rsid w:val="00920170"/>
    <w:rsid w:val="00921632"/>
    <w:rsid w:val="00942EB9"/>
    <w:rsid w:val="009454C5"/>
    <w:rsid w:val="00945718"/>
    <w:rsid w:val="0094678A"/>
    <w:rsid w:val="00956486"/>
    <w:rsid w:val="00963458"/>
    <w:rsid w:val="0096565A"/>
    <w:rsid w:val="00973A7F"/>
    <w:rsid w:val="00983CEB"/>
    <w:rsid w:val="0098618B"/>
    <w:rsid w:val="009A5FB5"/>
    <w:rsid w:val="009B1C1E"/>
    <w:rsid w:val="009D287B"/>
    <w:rsid w:val="009E2F2A"/>
    <w:rsid w:val="009E573A"/>
    <w:rsid w:val="009E6CE8"/>
    <w:rsid w:val="00A02EDA"/>
    <w:rsid w:val="00A11272"/>
    <w:rsid w:val="00A113A2"/>
    <w:rsid w:val="00A145E7"/>
    <w:rsid w:val="00A17CEF"/>
    <w:rsid w:val="00A22D24"/>
    <w:rsid w:val="00A30D9E"/>
    <w:rsid w:val="00A32ACD"/>
    <w:rsid w:val="00A41371"/>
    <w:rsid w:val="00A431F3"/>
    <w:rsid w:val="00A56812"/>
    <w:rsid w:val="00A610E2"/>
    <w:rsid w:val="00A7060F"/>
    <w:rsid w:val="00A71950"/>
    <w:rsid w:val="00A851F7"/>
    <w:rsid w:val="00A85465"/>
    <w:rsid w:val="00A86199"/>
    <w:rsid w:val="00A92D08"/>
    <w:rsid w:val="00A95C7F"/>
    <w:rsid w:val="00A96014"/>
    <w:rsid w:val="00A9708A"/>
    <w:rsid w:val="00AB1EEF"/>
    <w:rsid w:val="00AB543B"/>
    <w:rsid w:val="00AC60B9"/>
    <w:rsid w:val="00AC7081"/>
    <w:rsid w:val="00AD0E8B"/>
    <w:rsid w:val="00AD186D"/>
    <w:rsid w:val="00AD74F9"/>
    <w:rsid w:val="00AE363C"/>
    <w:rsid w:val="00AE48ED"/>
    <w:rsid w:val="00B01A99"/>
    <w:rsid w:val="00B0310A"/>
    <w:rsid w:val="00B06D66"/>
    <w:rsid w:val="00B12E53"/>
    <w:rsid w:val="00B161CF"/>
    <w:rsid w:val="00B323BF"/>
    <w:rsid w:val="00B35265"/>
    <w:rsid w:val="00B3539E"/>
    <w:rsid w:val="00B551F4"/>
    <w:rsid w:val="00B5790D"/>
    <w:rsid w:val="00B604EE"/>
    <w:rsid w:val="00B605B4"/>
    <w:rsid w:val="00B650FB"/>
    <w:rsid w:val="00B70457"/>
    <w:rsid w:val="00B76594"/>
    <w:rsid w:val="00B82CA5"/>
    <w:rsid w:val="00B85956"/>
    <w:rsid w:val="00B952B7"/>
    <w:rsid w:val="00BA3011"/>
    <w:rsid w:val="00BA3EB8"/>
    <w:rsid w:val="00BA448B"/>
    <w:rsid w:val="00BA6E5E"/>
    <w:rsid w:val="00BC71ED"/>
    <w:rsid w:val="00BE4329"/>
    <w:rsid w:val="00BE4535"/>
    <w:rsid w:val="00BE66D4"/>
    <w:rsid w:val="00BF17FA"/>
    <w:rsid w:val="00BF3A5B"/>
    <w:rsid w:val="00C03786"/>
    <w:rsid w:val="00C04B49"/>
    <w:rsid w:val="00C10996"/>
    <w:rsid w:val="00C11679"/>
    <w:rsid w:val="00C161FA"/>
    <w:rsid w:val="00C20515"/>
    <w:rsid w:val="00C2139C"/>
    <w:rsid w:val="00C2290E"/>
    <w:rsid w:val="00C22A8F"/>
    <w:rsid w:val="00C261AE"/>
    <w:rsid w:val="00C32C8E"/>
    <w:rsid w:val="00C446A8"/>
    <w:rsid w:val="00C4766B"/>
    <w:rsid w:val="00C5395D"/>
    <w:rsid w:val="00C65221"/>
    <w:rsid w:val="00C70AC1"/>
    <w:rsid w:val="00C750E6"/>
    <w:rsid w:val="00C76669"/>
    <w:rsid w:val="00C82DF6"/>
    <w:rsid w:val="00C86E4A"/>
    <w:rsid w:val="00C92E9B"/>
    <w:rsid w:val="00C93285"/>
    <w:rsid w:val="00CA2AB3"/>
    <w:rsid w:val="00CA5D26"/>
    <w:rsid w:val="00CA781C"/>
    <w:rsid w:val="00CC069B"/>
    <w:rsid w:val="00CC62AD"/>
    <w:rsid w:val="00CD2994"/>
    <w:rsid w:val="00CD6BEE"/>
    <w:rsid w:val="00CD7C91"/>
    <w:rsid w:val="00CE4438"/>
    <w:rsid w:val="00CF1A80"/>
    <w:rsid w:val="00CF3824"/>
    <w:rsid w:val="00CF75AC"/>
    <w:rsid w:val="00D04310"/>
    <w:rsid w:val="00D12A1F"/>
    <w:rsid w:val="00D25166"/>
    <w:rsid w:val="00D408A4"/>
    <w:rsid w:val="00D40EF6"/>
    <w:rsid w:val="00D50054"/>
    <w:rsid w:val="00D6226C"/>
    <w:rsid w:val="00D64087"/>
    <w:rsid w:val="00D724C2"/>
    <w:rsid w:val="00D74812"/>
    <w:rsid w:val="00D749AB"/>
    <w:rsid w:val="00D80E28"/>
    <w:rsid w:val="00D869D8"/>
    <w:rsid w:val="00D91E91"/>
    <w:rsid w:val="00D97688"/>
    <w:rsid w:val="00DB7419"/>
    <w:rsid w:val="00DC7798"/>
    <w:rsid w:val="00DD1E5C"/>
    <w:rsid w:val="00DD3E2C"/>
    <w:rsid w:val="00DD54BE"/>
    <w:rsid w:val="00DE3528"/>
    <w:rsid w:val="00DE7853"/>
    <w:rsid w:val="00DF0A46"/>
    <w:rsid w:val="00DF2A9D"/>
    <w:rsid w:val="00DF55AC"/>
    <w:rsid w:val="00E05C7C"/>
    <w:rsid w:val="00E06987"/>
    <w:rsid w:val="00E16B19"/>
    <w:rsid w:val="00E34325"/>
    <w:rsid w:val="00E347D9"/>
    <w:rsid w:val="00E40AFE"/>
    <w:rsid w:val="00E51FCE"/>
    <w:rsid w:val="00E5537A"/>
    <w:rsid w:val="00E577E1"/>
    <w:rsid w:val="00E60EDD"/>
    <w:rsid w:val="00E647D1"/>
    <w:rsid w:val="00E75B37"/>
    <w:rsid w:val="00E77A75"/>
    <w:rsid w:val="00E8566F"/>
    <w:rsid w:val="00E9471B"/>
    <w:rsid w:val="00E95242"/>
    <w:rsid w:val="00EB3E50"/>
    <w:rsid w:val="00EB5551"/>
    <w:rsid w:val="00EE7438"/>
    <w:rsid w:val="00EF1CAA"/>
    <w:rsid w:val="00F05E09"/>
    <w:rsid w:val="00F064F5"/>
    <w:rsid w:val="00F21923"/>
    <w:rsid w:val="00F30EB9"/>
    <w:rsid w:val="00F31672"/>
    <w:rsid w:val="00F37EB2"/>
    <w:rsid w:val="00F4721F"/>
    <w:rsid w:val="00F51112"/>
    <w:rsid w:val="00F52DB1"/>
    <w:rsid w:val="00F64489"/>
    <w:rsid w:val="00F64AB4"/>
    <w:rsid w:val="00F66761"/>
    <w:rsid w:val="00F66AB1"/>
    <w:rsid w:val="00F67D4E"/>
    <w:rsid w:val="00F71FA5"/>
    <w:rsid w:val="00F7459F"/>
    <w:rsid w:val="00F81D04"/>
    <w:rsid w:val="00F9664F"/>
    <w:rsid w:val="00F968F6"/>
    <w:rsid w:val="00F978DE"/>
    <w:rsid w:val="00FC6E10"/>
    <w:rsid w:val="00FC7BEA"/>
    <w:rsid w:val="00FE1F66"/>
    <w:rsid w:val="00FE2C82"/>
    <w:rsid w:val="00FF0B42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9A3DCAB"/>
  <w15:docId w15:val="{DC6020AF-B99F-4287-80A8-3CFB21A7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310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cs="Times New Roman (TT)"/>
      <w:color w:val="000000"/>
      <w:sz w:val="20"/>
      <w:szCs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BE4329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6597"/>
    <w:pPr>
      <w:spacing w:before="240" w:after="120" w:line="240" w:lineRule="auto"/>
      <w:outlineLvl w:val="1"/>
    </w:pPr>
    <w:rPr>
      <w:b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6597"/>
    <w:pPr>
      <w:keepNext/>
      <w:keepLines/>
      <w:spacing w:before="180" w:after="120" w:line="240" w:lineRule="auto"/>
      <w:outlineLvl w:val="2"/>
    </w:pPr>
    <w:rPr>
      <w:rFonts w:eastAsiaTheme="majorEastAsia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82F0B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E4329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D3C8A"/>
    <w:pPr>
      <w:ind w:left="720"/>
      <w:contextualSpacing/>
    </w:pPr>
  </w:style>
  <w:style w:type="paragraph" w:customStyle="1" w:styleId="text">
    <w:name w:val="text"/>
    <w:basedOn w:val="Normal"/>
    <w:next w:val="Normal"/>
    <w:uiPriority w:val="99"/>
    <w:rsid w:val="002D3C8A"/>
    <w:rPr>
      <w:rFonts w:ascii="Times New Roman (TT)" w:hAnsi="Times New Roman (TT)"/>
    </w:rPr>
  </w:style>
  <w:style w:type="character" w:styleId="PlaceholderText">
    <w:name w:val="Placeholder Text"/>
    <w:basedOn w:val="DefaultParagraphFont"/>
    <w:uiPriority w:val="99"/>
    <w:semiHidden/>
    <w:rsid w:val="002D3C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8A"/>
    <w:rPr>
      <w:rFonts w:ascii="Tahoma" w:hAnsi="Tahoma" w:cs="Tahoma"/>
      <w:color w:val="000000"/>
      <w:sz w:val="16"/>
      <w:szCs w:val="16"/>
      <w:lang w:val="en-US"/>
    </w:rPr>
  </w:style>
  <w:style w:type="table" w:styleId="TableGrid">
    <w:name w:val="Table Grid"/>
    <w:basedOn w:val="TableNormal"/>
    <w:rsid w:val="00BF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7164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cs="Times New Roman (TT)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26597"/>
    <w:rPr>
      <w:rFonts w:cs="Times New Roman (TT)"/>
      <w:b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9D0"/>
    <w:rPr>
      <w:rFonts w:cs="Times New Roman (TT)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9D0"/>
    <w:rPr>
      <w:rFonts w:cs="Times New Roman (TT)"/>
      <w:color w:val="00000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D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0D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31672"/>
    <w:pPr>
      <w:spacing w:after="200" w:line="240" w:lineRule="auto"/>
      <w:jc w:val="center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516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26597"/>
    <w:rPr>
      <w:rFonts w:eastAsiaTheme="majorEastAsia" w:cstheme="majorBidi"/>
      <w:b/>
      <w:bCs/>
      <w:color w:val="4F81BD" w:themeColor="accent1"/>
      <w:sz w:val="20"/>
      <w:szCs w:val="20"/>
      <w:lang w:val="en-GB"/>
    </w:rPr>
  </w:style>
  <w:style w:type="paragraph" w:customStyle="1" w:styleId="LoggerProinstructions">
    <w:name w:val="LoggerPro instructions"/>
    <w:basedOn w:val="Normal"/>
    <w:link w:val="LoggerProinstructionsChar"/>
    <w:qFormat/>
    <w:rsid w:val="00EB5551"/>
    <w:rPr>
      <w:b/>
      <w:color w:val="984806" w:themeColor="accent6" w:themeShade="80"/>
    </w:rPr>
  </w:style>
  <w:style w:type="paragraph" w:customStyle="1" w:styleId="Marking">
    <w:name w:val="Marking"/>
    <w:basedOn w:val="Normal"/>
    <w:link w:val="MarkingChar"/>
    <w:qFormat/>
    <w:rsid w:val="005E6481"/>
    <w:pPr>
      <w:tabs>
        <w:tab w:val="left" w:pos="-1843"/>
      </w:tabs>
      <w:ind w:hanging="567"/>
    </w:pPr>
    <w:rPr>
      <w:color w:val="FF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5EC4"/>
    <w:rPr>
      <w:rFonts w:cs="Times New Roman (TT)"/>
      <w:color w:val="000000"/>
      <w:sz w:val="20"/>
      <w:szCs w:val="20"/>
    </w:rPr>
  </w:style>
  <w:style w:type="character" w:customStyle="1" w:styleId="LoggerProinstructionsChar">
    <w:name w:val="LoggerPro instructions Char"/>
    <w:basedOn w:val="ListParagraphChar"/>
    <w:link w:val="LoggerProinstructions"/>
    <w:rsid w:val="00EB5551"/>
    <w:rPr>
      <w:rFonts w:cs="Times New Roman (TT)"/>
      <w:b/>
      <w:color w:val="984806" w:themeColor="accent6" w:themeShade="80"/>
      <w:sz w:val="20"/>
      <w:szCs w:val="20"/>
    </w:rPr>
  </w:style>
  <w:style w:type="paragraph" w:customStyle="1" w:styleId="CrossRef">
    <w:name w:val="CrossRef"/>
    <w:basedOn w:val="Normal"/>
    <w:link w:val="CrossRefChar"/>
    <w:qFormat/>
    <w:rsid w:val="00CA781C"/>
    <w:rPr>
      <w:i/>
      <w:color w:val="0070C0"/>
      <w:u w:val="single"/>
      <w:lang w:val="en-GB"/>
    </w:rPr>
  </w:style>
  <w:style w:type="character" w:customStyle="1" w:styleId="MarkingChar">
    <w:name w:val="Marking Char"/>
    <w:basedOn w:val="DefaultParagraphFont"/>
    <w:link w:val="Marking"/>
    <w:rsid w:val="005E6481"/>
    <w:rPr>
      <w:rFonts w:cs="Times New Roman (TT)"/>
      <w:color w:val="FF0000"/>
      <w:sz w:val="20"/>
      <w:szCs w:val="20"/>
    </w:rPr>
  </w:style>
  <w:style w:type="paragraph" w:customStyle="1" w:styleId="Answer">
    <w:name w:val="Answer"/>
    <w:basedOn w:val="Normal"/>
    <w:link w:val="AnswerChar"/>
    <w:qFormat/>
    <w:rsid w:val="001821B5"/>
    <w:rPr>
      <w:color w:val="BFBFBF" w:themeColor="background1" w:themeShade="BF"/>
    </w:rPr>
  </w:style>
  <w:style w:type="character" w:customStyle="1" w:styleId="CrossRefChar">
    <w:name w:val="CrossRef Char"/>
    <w:basedOn w:val="DefaultParagraphFont"/>
    <w:link w:val="CrossRef"/>
    <w:rsid w:val="00CA781C"/>
    <w:rPr>
      <w:rFonts w:cs="Times New Roman (TT)"/>
      <w:i/>
      <w:color w:val="0070C0"/>
      <w:sz w:val="20"/>
      <w:szCs w:val="20"/>
      <w:u w:val="single"/>
      <w:lang w:val="en-GB"/>
    </w:rPr>
  </w:style>
  <w:style w:type="character" w:customStyle="1" w:styleId="AnswerChar">
    <w:name w:val="Answer Char"/>
    <w:basedOn w:val="DefaultParagraphFont"/>
    <w:link w:val="Answer"/>
    <w:rsid w:val="001821B5"/>
    <w:rPr>
      <w:rFonts w:cs="Times New Roman (TT)"/>
      <w:color w:val="BFBFBF" w:themeColor="background1" w:themeShade="BF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1EB9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1EB9"/>
    <w:rPr>
      <w:rFonts w:cs="Times New Roman (TT)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1EB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03A6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03A6"/>
    <w:rPr>
      <w:rFonts w:cs="Times New Roman (TT)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903A6"/>
    <w:rPr>
      <w:vertAlign w:val="superscript"/>
    </w:rPr>
  </w:style>
  <w:style w:type="paragraph" w:customStyle="1" w:styleId="Tablenotetext">
    <w:name w:val="Tablenote text"/>
    <w:basedOn w:val="FootnoteText"/>
    <w:link w:val="TablenotetextChar"/>
    <w:qFormat/>
    <w:rsid w:val="00B0310A"/>
  </w:style>
  <w:style w:type="paragraph" w:customStyle="1" w:styleId="Tablenotereference">
    <w:name w:val="Tablenote reference"/>
    <w:basedOn w:val="Normal"/>
    <w:link w:val="TablenotereferenceChar"/>
    <w:qFormat/>
    <w:rsid w:val="00B0310A"/>
    <w:pPr>
      <w:jc w:val="center"/>
    </w:pPr>
    <w:rPr>
      <w:b/>
    </w:rPr>
  </w:style>
  <w:style w:type="character" w:customStyle="1" w:styleId="TablenotetextChar">
    <w:name w:val="Tablenote text Char"/>
    <w:basedOn w:val="FootnoteTextChar"/>
    <w:link w:val="Tablenotetext"/>
    <w:rsid w:val="00B0310A"/>
    <w:rPr>
      <w:rFonts w:cs="Times New Roman (TT)"/>
      <w:color w:val="000000"/>
      <w:sz w:val="20"/>
      <w:szCs w:val="20"/>
    </w:rPr>
  </w:style>
  <w:style w:type="character" w:customStyle="1" w:styleId="TablenotereferenceChar">
    <w:name w:val="Tablenote reference Char"/>
    <w:basedOn w:val="DefaultParagraphFont"/>
    <w:link w:val="Tablenotereference"/>
    <w:rsid w:val="00B0310A"/>
    <w:rPr>
      <w:rFonts w:cs="Times New Roman (TT)"/>
      <w:b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11161-B5FB-4149-AEA3-082BF5A24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Michael Wong</cp:lastModifiedBy>
  <cp:revision>43</cp:revision>
  <cp:lastPrinted>2023-09-21T15:11:00Z</cp:lastPrinted>
  <dcterms:created xsi:type="dcterms:W3CDTF">2013-07-16T14:23:00Z</dcterms:created>
  <dcterms:modified xsi:type="dcterms:W3CDTF">2023-09-21T15:11:00Z</dcterms:modified>
</cp:coreProperties>
</file>