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4260E" w14:textId="77777777" w:rsidR="00BE4329" w:rsidRDefault="00B35265" w:rsidP="00E80812">
      <w:pPr>
        <w:pStyle w:val="Heading1"/>
        <w:jc w:val="left"/>
      </w:pPr>
      <w:bookmarkStart w:id="0" w:name="_Ref358291343"/>
      <w:bookmarkStart w:id="1" w:name="_Ref358632470"/>
      <w:bookmarkStart w:id="2" w:name="_Ref358967577"/>
      <w:bookmarkStart w:id="3" w:name="_GoBack"/>
      <w:bookmarkEnd w:id="3"/>
      <w:r>
        <w:t>Tutorial</w:t>
      </w:r>
      <w:r w:rsidR="00082F0B" w:rsidRPr="00BE4329">
        <w:t xml:space="preserve"> </w:t>
      </w:r>
      <w:r w:rsidR="00602AAD">
        <w:t>–</w:t>
      </w:r>
      <w:r w:rsidR="00082F0B" w:rsidRPr="00BE4329">
        <w:t xml:space="preserve"> </w:t>
      </w:r>
      <w:bookmarkEnd w:id="0"/>
      <w:bookmarkEnd w:id="1"/>
      <w:r w:rsidR="00430A45">
        <w:t>Repeated measurements</w:t>
      </w:r>
      <w:bookmarkEnd w:id="2"/>
      <w:r w:rsidR="00A30D9E" w:rsidRPr="00BE4329">
        <w:t xml:space="preserve"> </w:t>
      </w:r>
    </w:p>
    <w:p w14:paraId="07C30E9C" w14:textId="28070028" w:rsidR="00E80812" w:rsidRDefault="00E80812" w:rsidP="00E80812">
      <w:pPr>
        <w:autoSpaceDE/>
        <w:autoSpaceDN/>
        <w:adjustRightInd/>
        <w:spacing w:after="200" w:line="276" w:lineRule="auto"/>
        <w:jc w:val="left"/>
        <w:textAlignment w:val="auto"/>
      </w:pPr>
      <w:r>
        <w:t xml:space="preserve">Taking multiple measurements of the same quantity can decrease the amount of uncertainty in your </w:t>
      </w:r>
      <w:r w:rsidR="00D5601A">
        <w:t>experimental values.</w:t>
      </w:r>
      <w:r>
        <w:t xml:space="preserve"> The simple statistical quantities (mean, standard deviation, and standard error) described below allow you to check how reproducible your measurements are.</w:t>
      </w:r>
      <w:r w:rsidR="00CA7A29">
        <w:br/>
      </w:r>
    </w:p>
    <w:p w14:paraId="001BEE9E" w14:textId="167AC60D" w:rsidR="00CA7A29" w:rsidRDefault="00CA7A29" w:rsidP="00CA7A29">
      <w:pPr>
        <w:pStyle w:val="Heading3"/>
        <w:jc w:val="left"/>
      </w:pPr>
      <w:r>
        <w:t>Mean</w:t>
      </w:r>
    </w:p>
    <w:p w14:paraId="315940B7" w14:textId="3774EA67" w:rsidR="00E80812" w:rsidRPr="00E80812" w:rsidRDefault="00E80812" w:rsidP="00E80812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inorEastAsia"/>
        </w:rPr>
      </w:pPr>
      <w:r>
        <w:t xml:space="preserve">The </w:t>
      </w:r>
      <w:r w:rsidR="00D5601A" w:rsidRPr="0044225B">
        <w:rPr>
          <w:b/>
        </w:rPr>
        <w:t>mean</w:t>
      </w:r>
      <w:r>
        <w:t xml:space="preserve"> value (</w:t>
      </w:r>
      <m:oMath>
        <m:r>
          <w:rPr>
            <w:rFonts w:ascii="Cambria Math" w:hAnsi="Cambria Math"/>
          </w:rPr>
          <m:t>μ</m:t>
        </m:r>
      </m:oMath>
      <w:r>
        <w:t>) of your repeated measurements is also known as the average value and is f</w:t>
      </w:r>
      <w:proofErr w:type="spellStart"/>
      <w:r>
        <w:t>ound</w:t>
      </w:r>
      <w:proofErr w:type="spellEnd"/>
      <w:r>
        <w:t xml:space="preserve"> by finding the sum of all your measured values and dividing by the number of measurements</w:t>
      </w:r>
      <w:r w:rsidR="00732165">
        <w:t xml:space="preserve"> </w:t>
      </w:r>
      <w:r>
        <w:t>:</w:t>
      </w:r>
      <w:r>
        <w:br/>
      </w:r>
      <m:oMathPara>
        <m:oMath>
          <m:r>
            <w:rPr>
              <w:rFonts w:ascii="Cambria Math" w:hAnsi="Cambria Math"/>
            </w:rPr>
            <m:t>μ=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</m:oMath>
      </m:oMathPara>
    </w:p>
    <w:p w14:paraId="37883A8A" w14:textId="2440D213" w:rsidR="00E80812" w:rsidRDefault="00E80812" w:rsidP="00E80812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t>The mean is an estimate of the “true” value of the measurement.</w:t>
      </w:r>
      <w:r w:rsidR="00D5601A">
        <w:rPr>
          <w:rFonts w:eastAsiaTheme="minorEastAsia"/>
        </w:rPr>
        <w:t xml:space="preserve"> For small sample sizes of measurements that we use in</w:t>
      </w:r>
      <w:r w:rsidR="00FC1ABD">
        <w:rPr>
          <w:rFonts w:eastAsiaTheme="minorEastAsia"/>
        </w:rPr>
        <w:t xml:space="preserve"> first year </w:t>
      </w:r>
      <w:r w:rsidR="00D5601A">
        <w:rPr>
          <w:rFonts w:eastAsiaTheme="minorEastAsia"/>
        </w:rPr>
        <w:t>physics lab</w:t>
      </w:r>
      <w:r w:rsidR="00FC1ABD">
        <w:rPr>
          <w:rFonts w:eastAsiaTheme="minorEastAsia"/>
        </w:rPr>
        <w:t>s</w:t>
      </w:r>
      <w:r w:rsidR="00D5601A">
        <w:rPr>
          <w:rFonts w:eastAsiaTheme="minorEastAsia"/>
        </w:rPr>
        <w:t>, the mean is</w:t>
      </w:r>
      <w:r w:rsidR="0065142E">
        <w:rPr>
          <w:rFonts w:eastAsiaTheme="minorEastAsia"/>
        </w:rPr>
        <w:t xml:space="preserve"> also</w:t>
      </w:r>
      <w:r w:rsidR="00D5601A">
        <w:rPr>
          <w:rFonts w:eastAsiaTheme="minorEastAsia"/>
        </w:rPr>
        <w:t xml:space="preserve"> known as the sample mean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</m:e>
        </m:d>
      </m:oMath>
      <w:r w:rsidR="00D5601A">
        <w:rPr>
          <w:rFonts w:eastAsiaTheme="minorEastAsia"/>
        </w:rPr>
        <w:t>.</w:t>
      </w:r>
      <w:r w:rsidR="00CA7A29">
        <w:rPr>
          <w:rFonts w:eastAsiaTheme="minorEastAsia"/>
        </w:rPr>
        <w:br/>
      </w:r>
    </w:p>
    <w:p w14:paraId="15A690A3" w14:textId="1DDB4612" w:rsidR="00CA7A29" w:rsidRDefault="00CA7A29" w:rsidP="00CA7A29">
      <w:pPr>
        <w:pStyle w:val="Heading3"/>
        <w:jc w:val="left"/>
      </w:pPr>
      <w:r>
        <w:t>Standard deviation</w:t>
      </w:r>
    </w:p>
    <w:p w14:paraId="4F2F937A" w14:textId="5BA0DA30" w:rsidR="00A178B2" w:rsidRDefault="00E80812" w:rsidP="00E80812">
      <w:pPr>
        <w:autoSpaceDE/>
        <w:autoSpaceDN/>
        <w:adjustRightInd/>
        <w:spacing w:after="200" w:line="276" w:lineRule="auto"/>
        <w:jc w:val="left"/>
        <w:textAlignment w:val="auto"/>
      </w:pPr>
      <w:r>
        <w:t xml:space="preserve">The precision of your measurements depends on the </w:t>
      </w:r>
      <w:r w:rsidR="00A178B2">
        <w:t>“</w:t>
      </w:r>
      <w:r>
        <w:t>spread</w:t>
      </w:r>
      <w:r w:rsidR="00A178B2">
        <w:t>”</w:t>
      </w:r>
      <w:r>
        <w:t xml:space="preserve"> of the values you take and the number of repeated attempts. This precision </w:t>
      </w:r>
      <w:r w:rsidR="0082245E">
        <w:t>can be</w:t>
      </w:r>
      <w:r>
        <w:t xml:space="preserve"> represented by the</w:t>
      </w:r>
      <w:r w:rsidR="00114E4A">
        <w:t xml:space="preserve"> standard deviation.</w:t>
      </w:r>
      <w:r w:rsidR="00FC1ABD">
        <w:t xml:space="preserve"> </w:t>
      </w:r>
      <w:r w:rsidR="00A178B2">
        <w:t xml:space="preserve">Each measurement you take has a </w:t>
      </w:r>
      <w:proofErr w:type="gramStart"/>
      <w:r w:rsidR="00A178B2">
        <w:t>deviation</w:t>
      </w:r>
      <w:proofErr w:type="gramEnd"/>
      <w:r w:rsidR="00A178B2">
        <w:t xml:space="preserve"> from the mean (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-μ</m:t>
            </m:r>
          </m:e>
        </m:d>
      </m:oMath>
      <w:r w:rsidR="00A178B2">
        <w:t xml:space="preserve">). We use the absolute value </w:t>
      </w:r>
      <w:r w:rsidR="00114E4A">
        <w:t xml:space="preserve">here </w:t>
      </w:r>
      <w:r w:rsidR="00A178B2">
        <w:t xml:space="preserve">to indicate that the sign of the deviation is not taken into account since </w:t>
      </w:r>
      <w:r w:rsidR="00114E4A">
        <w:t>as we only</w:t>
      </w:r>
      <w:r w:rsidR="00D5601A">
        <w:t xml:space="preserve"> care</w:t>
      </w:r>
      <w:r w:rsidR="00A178B2">
        <w:t xml:space="preserve"> about the “distance” </w:t>
      </w:r>
      <w:r w:rsidR="003E0F09">
        <w:t>from the mean for each</w:t>
      </w:r>
      <w:r w:rsidR="00A178B2">
        <w:t xml:space="preserve"> </w:t>
      </w:r>
      <w:r w:rsidR="003E0F09">
        <w:t>measurement.</w:t>
      </w:r>
    </w:p>
    <w:p w14:paraId="45A9A25C" w14:textId="7236BD90" w:rsidR="00FC1ABD" w:rsidRPr="00FC1ABD" w:rsidRDefault="0082245E" w:rsidP="00E80812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inorEastAsia"/>
        </w:rPr>
      </w:pPr>
      <w:r>
        <w:t>The standard deviation</w:t>
      </w:r>
      <w:r w:rsidR="0044225B">
        <w:t xml:space="preserve"> (</w:t>
      </w:r>
      <m:oMath>
        <m:r>
          <w:rPr>
            <w:rFonts w:ascii="Cambria Math" w:hAnsi="Cambria Math"/>
          </w:rPr>
          <m:t>σ</m:t>
        </m:r>
      </m:oMath>
      <w:r w:rsidR="0044225B">
        <w:t>)</w:t>
      </w:r>
      <w:r>
        <w:t xml:space="preserve"> takes into account the deviation of each measurement and is given by the equation:</w:t>
      </w:r>
      <w:r>
        <w:br/>
      </w:r>
      <m:oMathPara>
        <m:oMath>
          <m:r>
            <w:rPr>
              <w:rFonts w:ascii="Cambria Math" w:hAnsi="Cambria Math"/>
            </w:rPr>
            <m:t>σ=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 xml:space="preserve">i=1 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-μ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14:paraId="5337989A" w14:textId="5857B2D8" w:rsidR="0082245E" w:rsidRPr="00FC1ABD" w:rsidRDefault="00FC1ABD" w:rsidP="00E80812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inorEastAsia"/>
        </w:rPr>
      </w:pPr>
      <w:r>
        <w:t>F</w:t>
      </w:r>
      <w:r w:rsidR="00D5601A">
        <w:t>or small sample sizes</w:t>
      </w:r>
      <w:r>
        <w:t>,</w:t>
      </w:r>
      <w:r w:rsidR="00D5601A">
        <w:t xml:space="preserve"> it is more appropriate to use the </w:t>
      </w:r>
      <w:r w:rsidR="00D5601A" w:rsidRPr="0044225B">
        <w:rPr>
          <w:b/>
        </w:rPr>
        <w:t>sample standard deviation</w:t>
      </w:r>
      <w:r w:rsidR="00D5601A">
        <w:t xml:space="preserve"> </w:t>
      </w:r>
      <w:r w:rsidR="0044225B">
        <w:t>(</w:t>
      </w:r>
      <m:oMath>
        <m:r>
          <w:rPr>
            <w:rFonts w:ascii="Cambria Math" w:hAnsi="Cambria Math"/>
          </w:rPr>
          <m:t>s</m:t>
        </m:r>
      </m:oMath>
      <w:r w:rsidR="0044225B">
        <w:t xml:space="preserve">) </w:t>
      </w:r>
      <w:r w:rsidR="00D5601A">
        <w:t xml:space="preserve">which replaces the </w:t>
      </w:r>
      <m:oMath>
        <m:r>
          <w:rPr>
            <w:rFonts w:ascii="Cambria Math" w:hAnsi="Cambria Math"/>
          </w:rPr>
          <m:t>n</m:t>
        </m:r>
      </m:oMath>
      <w:r w:rsidR="00D5601A">
        <w:rPr>
          <w:rFonts w:eastAsiaTheme="minorEastAsia"/>
        </w:rPr>
        <w:t xml:space="preserve"> with </w:t>
      </w:r>
      <m:oMath>
        <m:r>
          <w:rPr>
            <w:rFonts w:ascii="Cambria Math" w:eastAsiaTheme="minorEastAsia" w:hAnsi="Cambria Math"/>
          </w:rPr>
          <m:t>n-1</m:t>
        </m:r>
      </m:oMath>
      <w:r w:rsidR="00D5601A">
        <w:rPr>
          <w:rFonts w:eastAsiaTheme="minorEastAsia"/>
        </w:rPr>
        <w:t xml:space="preserve"> (known as Bessel’s correction) and</w:t>
      </w:r>
      <w:r w:rsidR="0044225B">
        <w:rPr>
          <w:rFonts w:eastAsiaTheme="minorEastAsia"/>
        </w:rPr>
        <w:t xml:space="preserve"> uses</w:t>
      </w:r>
      <w:r w:rsidR="00D5601A">
        <w:rPr>
          <w:rFonts w:eastAsiaTheme="minorEastAsia"/>
        </w:rPr>
        <w:t xml:space="preserve"> the sample mean</w:t>
      </w:r>
      <w:r w:rsidR="0044225B">
        <w:rPr>
          <w:rFonts w:eastAsiaTheme="minorEastAsia"/>
        </w:rPr>
        <w:t xml:space="preserve"> in the equation </w:t>
      </w:r>
      <w:proofErr w:type="gramStart"/>
      <w:r w:rsidR="0044225B">
        <w:rPr>
          <w:rFonts w:eastAsiaTheme="minorEastAsia"/>
        </w:rPr>
        <w:t>above</w:t>
      </w:r>
      <w:r w:rsidR="00732165">
        <w:rPr>
          <w:rFonts w:eastAsiaTheme="minorEastAsia"/>
        </w:rPr>
        <w:t xml:space="preserve"> </w:t>
      </w:r>
      <w:r w:rsidR="00D5601A">
        <w:rPr>
          <w:rFonts w:eastAsiaTheme="minorEastAsia"/>
        </w:rPr>
        <w:t>:</w:t>
      </w:r>
      <w:proofErr w:type="gramEnd"/>
      <w:r w:rsidR="00D5601A">
        <w:rPr>
          <w:rFonts w:eastAsiaTheme="minorEastAsia"/>
        </w:rPr>
        <w:br/>
      </w:r>
      <m:oMathPara>
        <m:oMath>
          <m:r>
            <w:rPr>
              <w:rFonts w:ascii="Cambria Math" w:hAnsi="Cambria Math"/>
            </w:rPr>
            <m:t>s=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n-1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ctrlPr>
                <w:rPr>
                  <w:rFonts w:ascii="Cambria Math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n-1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</m:rad>
        </m:oMath>
      </m:oMathPara>
    </w:p>
    <w:p w14:paraId="55BFF97A" w14:textId="4012097E" w:rsidR="00FC1ABD" w:rsidRDefault="00FC1ABD" w:rsidP="00E80812">
      <w:pPr>
        <w:autoSpaceDE/>
        <w:autoSpaceDN/>
        <w:adjustRightInd/>
        <w:spacing w:after="200" w:line="276" w:lineRule="auto"/>
        <w:jc w:val="left"/>
        <w:textAlignment w:val="auto"/>
      </w:pPr>
      <w:r>
        <w:t xml:space="preserve">Statistically, </w:t>
      </w:r>
      <w:r w:rsidR="00AA63D4">
        <w:t xml:space="preserve">this means </w:t>
      </w:r>
      <w:r>
        <w:t xml:space="preserve">we </w:t>
      </w:r>
      <w:r w:rsidR="00AA63D4">
        <w:t>are</w:t>
      </w:r>
      <w:r>
        <w:t xml:space="preserve"> reasonably sure (~70%) that the next repeated measurement we take will be within one </w:t>
      </w:r>
      <w:r w:rsidR="00203FB5">
        <w:t xml:space="preserve">sample </w:t>
      </w:r>
      <w:r>
        <w:t>standard deviation from the mean value.</w:t>
      </w:r>
      <w:r w:rsidR="00CA7A29">
        <w:br/>
      </w:r>
    </w:p>
    <w:p w14:paraId="32061F9A" w14:textId="2B8B2F69" w:rsidR="00CA7A29" w:rsidRDefault="00CA7A29" w:rsidP="00CA7A29">
      <w:pPr>
        <w:pStyle w:val="Heading3"/>
        <w:jc w:val="left"/>
      </w:pPr>
      <w:r>
        <w:t>Standard error</w:t>
      </w:r>
    </w:p>
    <w:p w14:paraId="77B12FE4" w14:textId="1B513468" w:rsidR="00FC1ABD" w:rsidRPr="00FC1ABD" w:rsidRDefault="00FC1ABD" w:rsidP="00E80812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inorEastAsia"/>
        </w:rPr>
      </w:pPr>
      <w:r>
        <w:t xml:space="preserve">The standard error for your measurements is an estimate of the uncertainty in your mean value and is given </w:t>
      </w:r>
      <w:proofErr w:type="gramStart"/>
      <w:r>
        <w:t>by</w:t>
      </w:r>
      <w:r w:rsidR="00732165">
        <w:t xml:space="preserve"> </w:t>
      </w:r>
      <w:r>
        <w:t>:</w:t>
      </w:r>
      <w:proofErr w:type="gramEnd"/>
      <w:r>
        <w:br/>
      </w:r>
      <m:oMathPara>
        <m:oMath>
          <m:r>
            <w:rPr>
              <w:rFonts w:ascii="Cambria Math" w:hAnsi="Cambria Math"/>
            </w:rPr>
            <m:t>SE=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rad>
            </m:den>
          </m:f>
        </m:oMath>
      </m:oMathPara>
    </w:p>
    <w:p w14:paraId="2C2B4A1C" w14:textId="6E2F82B5" w:rsidR="00FC1ABD" w:rsidRDefault="00FC1ABD" w:rsidP="00E80812">
      <w:pPr>
        <w:autoSpaceDE/>
        <w:autoSpaceDN/>
        <w:adjustRightInd/>
        <w:spacing w:after="200" w:line="276" w:lineRule="auto"/>
        <w:jc w:val="left"/>
        <w:textAlignment w:val="auto"/>
      </w:pPr>
      <w:r>
        <w:t xml:space="preserve">Statistically, we </w:t>
      </w:r>
      <w:r w:rsidR="00AA63D4">
        <w:t>are</w:t>
      </w:r>
      <w:r>
        <w:t xml:space="preserve"> reasonably sure (~70%) that if we re-do the entire experiment with the same number of repeated measurements, the mean of the new </w:t>
      </w:r>
      <w:r w:rsidR="007B7CF1">
        <w:t>data set</w:t>
      </w:r>
      <w:r>
        <w:t xml:space="preserve"> will be within one standard error of the original mean.</w:t>
      </w:r>
    </w:p>
    <w:p w14:paraId="20D42615" w14:textId="77777777" w:rsidR="008929D0" w:rsidRDefault="008929D0" w:rsidP="00E80812">
      <w:pPr>
        <w:pStyle w:val="Heading3"/>
        <w:jc w:val="left"/>
      </w:pPr>
      <w:r>
        <w:lastRenderedPageBreak/>
        <w:t>Using a spreadsheet</w:t>
      </w:r>
    </w:p>
    <w:p w14:paraId="49CC5A2F" w14:textId="47E065C3" w:rsidR="00D12D9C" w:rsidRDefault="00430A45" w:rsidP="00E80812">
      <w:pPr>
        <w:autoSpaceDE/>
        <w:autoSpaceDN/>
        <w:adjustRightInd/>
        <w:spacing w:after="200" w:line="276" w:lineRule="auto"/>
        <w:jc w:val="left"/>
        <w:textAlignment w:val="auto"/>
      </w:pPr>
      <w:r>
        <w:t xml:space="preserve">Students are encouraged to use spreadsheet software </w:t>
      </w:r>
      <w:r w:rsidR="004924C5">
        <w:t>(for examples,</w:t>
      </w:r>
      <w:r>
        <w:t xml:space="preserve"> </w:t>
      </w:r>
      <w:r>
        <w:rPr>
          <w:i/>
        </w:rPr>
        <w:t>Microsoft Excel</w:t>
      </w:r>
      <w:r>
        <w:t xml:space="preserve"> </w:t>
      </w:r>
      <w:r w:rsidR="004924C5">
        <w:t xml:space="preserve">or </w:t>
      </w:r>
      <w:r w:rsidR="004924C5" w:rsidRPr="004924C5">
        <w:rPr>
          <w:i/>
        </w:rPr>
        <w:t xml:space="preserve">Google </w:t>
      </w:r>
      <w:r w:rsidR="00F03FB8">
        <w:rPr>
          <w:i/>
        </w:rPr>
        <w:t>Sheets</w:t>
      </w:r>
      <w:r w:rsidR="004924C5">
        <w:t xml:space="preserve">) </w:t>
      </w:r>
      <w:r>
        <w:t xml:space="preserve">to perform </w:t>
      </w:r>
      <w:r w:rsidR="00F03FB8">
        <w:t>their repeated measurement</w:t>
      </w:r>
      <w:r>
        <w:t xml:space="preserve"> calculations. The three figures below show how to calculate the </w:t>
      </w:r>
      <w:r w:rsidR="00F03FB8">
        <w:t xml:space="preserve">(sample) </w:t>
      </w:r>
      <w:r>
        <w:t>mean value, the</w:t>
      </w:r>
      <w:r w:rsidR="00F03FB8">
        <w:t xml:space="preserve"> sample</w:t>
      </w:r>
      <w:r>
        <w:t xml:space="preserve"> standard deviation and the standard error f</w:t>
      </w:r>
      <w:r w:rsidR="004924C5">
        <w:t xml:space="preserve">or an ensemble of 5 data points </w:t>
      </w:r>
      <w:r>
        <w:t>(entered in cells B1 to B5, or B1:B5)</w:t>
      </w:r>
      <w:r w:rsidR="004924C5">
        <w:t xml:space="preserve"> in </w:t>
      </w:r>
      <w:r w:rsidR="004924C5" w:rsidRPr="004924C5">
        <w:rPr>
          <w:i/>
        </w:rPr>
        <w:t>Excel</w:t>
      </w:r>
      <w:r>
        <w:t xml:space="preserve">. </w:t>
      </w:r>
      <w:r w:rsidR="00D12D9C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09"/>
        <w:gridCol w:w="1451"/>
        <w:gridCol w:w="1780"/>
        <w:gridCol w:w="1197"/>
        <w:gridCol w:w="1813"/>
      </w:tblGrid>
      <w:tr w:rsidR="0065142E" w14:paraId="70A1C36A" w14:textId="77777777" w:rsidTr="0065142E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0F5E2A5" w14:textId="658BC5B1" w:rsidR="00D12D9C" w:rsidRDefault="00D12D9C" w:rsidP="00E80812">
            <w:pPr>
              <w:keepNext/>
              <w:tabs>
                <w:tab w:val="left" w:pos="1625"/>
              </w:tabs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Calculating </w:t>
            </w:r>
            <w:r>
              <w:rPr>
                <w:b/>
                <w:sz w:val="16"/>
                <w:szCs w:val="16"/>
              </w:rPr>
              <w:br/>
            </w:r>
            <w:r w:rsidRPr="00430A45">
              <w:rPr>
                <w:b/>
                <w:sz w:val="16"/>
                <w:szCs w:val="16"/>
              </w:rPr>
              <w:t>the mean:</w:t>
            </w:r>
            <w:r>
              <w:rPr>
                <w:sz w:val="16"/>
                <w:szCs w:val="16"/>
              </w:rPr>
              <w:t xml:space="preserve"> </w:t>
            </w:r>
          </w:p>
          <w:p w14:paraId="47C8505D" w14:textId="32432909" w:rsidR="00D12D9C" w:rsidRDefault="00D12D9C" w:rsidP="00E80812">
            <w:pPr>
              <w:keepNext/>
              <w:tabs>
                <w:tab w:val="left" w:pos="1625"/>
              </w:tabs>
              <w:jc w:val="left"/>
              <w:rPr>
                <w:noProof/>
                <w:lang w:eastAsia="en-CA"/>
              </w:rPr>
            </w:pPr>
            <w:r w:rsidRPr="00430A45">
              <w:rPr>
                <w:sz w:val="16"/>
                <w:szCs w:val="16"/>
              </w:rPr>
              <w:t>enter “=</w:t>
            </w:r>
            <w:r w:rsidR="00AC2E21">
              <w:rPr>
                <w:sz w:val="16"/>
                <w:szCs w:val="16"/>
              </w:rPr>
              <w:t>AVERAGE</w:t>
            </w:r>
            <w:r w:rsidRPr="00430A45">
              <w:rPr>
                <w:sz w:val="16"/>
                <w:szCs w:val="16"/>
              </w:rPr>
              <w:t xml:space="preserve">(B1:B5)” </w:t>
            </w:r>
            <w:r>
              <w:rPr>
                <w:sz w:val="16"/>
                <w:szCs w:val="16"/>
              </w:rPr>
              <w:br/>
            </w:r>
            <w:r w:rsidRPr="00430A45">
              <w:rPr>
                <w:sz w:val="16"/>
                <w:szCs w:val="16"/>
              </w:rPr>
              <w:t>in cell B7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ABFD7F9" w14:textId="1C72DEAF" w:rsidR="00D12D9C" w:rsidRDefault="0065142E" w:rsidP="00E80812">
            <w:pPr>
              <w:keepNext/>
              <w:tabs>
                <w:tab w:val="left" w:pos="1625"/>
              </w:tabs>
              <w:jc w:val="left"/>
              <w:rPr>
                <w:noProof/>
                <w:lang w:eastAsia="en-CA"/>
              </w:rPr>
            </w:pPr>
            <w:r>
              <w:object w:dxaOrig="3165" w:dyaOrig="5940" w14:anchorId="0462F2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6pt;height:162.1pt" o:ole="">
                  <v:imagedata r:id="rId9" o:title=""/>
                </v:shape>
                <o:OLEObject Type="Embed" ProgID="PBrush" ShapeID="_x0000_i1025" DrawAspect="Content" ObjectID="_1569925879" r:id="rId10"/>
              </w:objec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5CCD63A4" w14:textId="2983B9B3" w:rsidR="00D12D9C" w:rsidRDefault="00D12D9C" w:rsidP="00E80812">
            <w:pPr>
              <w:keepNext/>
              <w:tabs>
                <w:tab w:val="left" w:pos="1625"/>
              </w:tabs>
              <w:jc w:val="left"/>
              <w:rPr>
                <w:noProof/>
                <w:lang w:eastAsia="en-CA"/>
              </w:rPr>
            </w:pPr>
            <w:r w:rsidRPr="00430A45">
              <w:rPr>
                <w:b/>
                <w:sz w:val="16"/>
                <w:szCs w:val="16"/>
              </w:rPr>
              <w:t xml:space="preserve">Calculating </w:t>
            </w:r>
            <w:r>
              <w:rPr>
                <w:b/>
                <w:sz w:val="16"/>
                <w:szCs w:val="16"/>
              </w:rPr>
              <w:br/>
            </w:r>
            <w:r w:rsidRPr="00430A45">
              <w:rPr>
                <w:b/>
                <w:sz w:val="16"/>
                <w:szCs w:val="16"/>
              </w:rPr>
              <w:t xml:space="preserve">the </w:t>
            </w:r>
            <w:r w:rsidR="00F03FB8">
              <w:rPr>
                <w:b/>
                <w:sz w:val="16"/>
                <w:szCs w:val="16"/>
              </w:rPr>
              <w:t xml:space="preserve">sample </w:t>
            </w:r>
            <w:r w:rsidRPr="00430A45">
              <w:rPr>
                <w:b/>
                <w:sz w:val="16"/>
                <w:szCs w:val="16"/>
              </w:rPr>
              <w:t>standard deviation:</w:t>
            </w:r>
            <w:r w:rsidRPr="00430A45">
              <w:rPr>
                <w:sz w:val="16"/>
                <w:szCs w:val="16"/>
              </w:rPr>
              <w:t xml:space="preserve"> </w:t>
            </w:r>
            <w:r w:rsidRPr="00430A45">
              <w:rPr>
                <w:sz w:val="16"/>
                <w:szCs w:val="16"/>
              </w:rPr>
              <w:br/>
              <w:t>enter “=</w:t>
            </w:r>
            <w:r w:rsidR="00AC2E21">
              <w:rPr>
                <w:sz w:val="16"/>
                <w:szCs w:val="16"/>
              </w:rPr>
              <w:t>STDEV.S</w:t>
            </w:r>
            <w:r w:rsidRPr="00430A45">
              <w:rPr>
                <w:sz w:val="16"/>
                <w:szCs w:val="16"/>
              </w:rPr>
              <w:t xml:space="preserve">(B1:B5)” </w:t>
            </w:r>
            <w:r>
              <w:rPr>
                <w:sz w:val="16"/>
                <w:szCs w:val="16"/>
              </w:rPr>
              <w:br/>
            </w:r>
            <w:r w:rsidRPr="00430A45">
              <w:rPr>
                <w:sz w:val="16"/>
                <w:szCs w:val="16"/>
              </w:rPr>
              <w:t>in cell B8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E7471E7" w14:textId="0A25D578" w:rsidR="00D12D9C" w:rsidRDefault="0065142E" w:rsidP="00E80812">
            <w:pPr>
              <w:keepNext/>
              <w:tabs>
                <w:tab w:val="left" w:pos="1625"/>
              </w:tabs>
              <w:jc w:val="left"/>
              <w:rPr>
                <w:noProof/>
                <w:lang w:eastAsia="en-CA"/>
              </w:rPr>
            </w:pPr>
            <w:r>
              <w:object w:dxaOrig="3195" w:dyaOrig="5940" w14:anchorId="3DED87C3">
                <v:shape id="_x0000_i1026" type="#_x0000_t75" style="width:85.7pt;height:159pt" o:ole="">
                  <v:imagedata r:id="rId11" o:title=""/>
                </v:shape>
                <o:OLEObject Type="Embed" ProgID="PBrush" ShapeID="_x0000_i1026" DrawAspect="Content" ObjectID="_1569925880" r:id="rId12"/>
              </w:objec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38C90ED" w14:textId="77777777" w:rsidR="008E5DC3" w:rsidRDefault="00D12D9C" w:rsidP="00E80812">
            <w:pPr>
              <w:keepNext/>
              <w:tabs>
                <w:tab w:val="left" w:pos="1625"/>
              </w:tabs>
              <w:jc w:val="left"/>
              <w:rPr>
                <w:b/>
                <w:sz w:val="16"/>
                <w:szCs w:val="16"/>
              </w:rPr>
            </w:pPr>
            <w:r w:rsidRPr="00430A45">
              <w:rPr>
                <w:b/>
                <w:sz w:val="16"/>
                <w:szCs w:val="16"/>
              </w:rPr>
              <w:t xml:space="preserve">Calculating </w:t>
            </w:r>
            <w:r>
              <w:rPr>
                <w:b/>
                <w:sz w:val="16"/>
                <w:szCs w:val="16"/>
              </w:rPr>
              <w:br/>
            </w:r>
            <w:r w:rsidRPr="00430A45">
              <w:rPr>
                <w:b/>
                <w:sz w:val="16"/>
                <w:szCs w:val="16"/>
              </w:rPr>
              <w:t xml:space="preserve">the standard </w:t>
            </w:r>
          </w:p>
          <w:p w14:paraId="64429743" w14:textId="1680D5A2" w:rsidR="00D12D9C" w:rsidRDefault="00D12D9C" w:rsidP="00E80812">
            <w:pPr>
              <w:keepNext/>
              <w:tabs>
                <w:tab w:val="left" w:pos="1625"/>
              </w:tabs>
              <w:jc w:val="left"/>
              <w:rPr>
                <w:noProof/>
                <w:lang w:eastAsia="en-CA"/>
              </w:rPr>
            </w:pPr>
            <w:r w:rsidRPr="00430A45">
              <w:rPr>
                <w:b/>
                <w:sz w:val="16"/>
                <w:szCs w:val="16"/>
              </w:rPr>
              <w:t>error:</w:t>
            </w:r>
            <w:r w:rsidRPr="00430A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430A45">
              <w:rPr>
                <w:sz w:val="16"/>
                <w:szCs w:val="16"/>
              </w:rPr>
              <w:t xml:space="preserve">enter </w:t>
            </w:r>
            <w:r>
              <w:rPr>
                <w:sz w:val="16"/>
                <w:szCs w:val="16"/>
              </w:rPr>
              <w:br/>
            </w:r>
            <w:r w:rsidRPr="00430A45">
              <w:rPr>
                <w:sz w:val="16"/>
                <w:szCs w:val="16"/>
              </w:rPr>
              <w:t>“=B8/</w:t>
            </w:r>
            <w:r w:rsidR="00AC2E21">
              <w:rPr>
                <w:sz w:val="16"/>
                <w:szCs w:val="16"/>
              </w:rPr>
              <w:t>SQRT</w:t>
            </w:r>
            <w:r w:rsidRPr="00430A45">
              <w:rPr>
                <w:sz w:val="16"/>
                <w:szCs w:val="16"/>
              </w:rPr>
              <w:t xml:space="preserve">(5)” </w:t>
            </w:r>
            <w:r>
              <w:rPr>
                <w:sz w:val="16"/>
                <w:szCs w:val="16"/>
              </w:rPr>
              <w:br/>
            </w:r>
            <w:r w:rsidRPr="00430A45">
              <w:rPr>
                <w:sz w:val="16"/>
                <w:szCs w:val="16"/>
              </w:rPr>
              <w:t>in cell B9</w:t>
            </w:r>
          </w:p>
        </w:tc>
        <w:tc>
          <w:tcPr>
            <w:tcW w:w="1813" w:type="dxa"/>
            <w:tcBorders>
              <w:left w:val="nil"/>
            </w:tcBorders>
          </w:tcPr>
          <w:p w14:paraId="4D36FADF" w14:textId="5543C747" w:rsidR="00D12D9C" w:rsidRDefault="0065142E" w:rsidP="00E80812">
            <w:pPr>
              <w:keepNext/>
              <w:tabs>
                <w:tab w:val="left" w:pos="1625"/>
              </w:tabs>
              <w:jc w:val="left"/>
            </w:pPr>
            <w:r>
              <w:object w:dxaOrig="3255" w:dyaOrig="5955" w14:anchorId="0F194C90">
                <v:shape id="_x0000_i1027" type="#_x0000_t75" style="width:87pt;height:159.45pt" o:ole="">
                  <v:imagedata r:id="rId13" o:title=""/>
                </v:shape>
                <o:OLEObject Type="Embed" ProgID="PBrush" ShapeID="_x0000_i1027" DrawAspect="Content" ObjectID="_1569925881" r:id="rId14"/>
              </w:object>
            </w:r>
          </w:p>
        </w:tc>
      </w:tr>
      <w:tr w:rsidR="0065142E" w14:paraId="7F9421D0" w14:textId="77777777" w:rsidTr="0065142E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24E3C19" w14:textId="77777777" w:rsidR="00AC2E21" w:rsidRDefault="00AC2E21" w:rsidP="00E80812">
            <w:pPr>
              <w:keepNext/>
              <w:tabs>
                <w:tab w:val="left" w:pos="1625"/>
              </w:tabs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E646B10" w14:textId="77777777" w:rsidR="00AC2E21" w:rsidRDefault="00AC2E21" w:rsidP="00E80812">
            <w:pPr>
              <w:keepNext/>
              <w:tabs>
                <w:tab w:val="left" w:pos="1625"/>
              </w:tabs>
              <w:jc w:val="left"/>
              <w:rPr>
                <w:noProof/>
                <w:lang w:eastAsia="en-C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1D6C38CE" w14:textId="77777777" w:rsidR="00AC2E21" w:rsidRPr="00430A45" w:rsidRDefault="00AC2E21" w:rsidP="00E80812">
            <w:pPr>
              <w:keepNext/>
              <w:tabs>
                <w:tab w:val="left" w:pos="1625"/>
              </w:tabs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5BCBF134" w14:textId="77777777" w:rsidR="00AC2E21" w:rsidRDefault="00AC2E21" w:rsidP="00E80812">
            <w:pPr>
              <w:keepNext/>
              <w:tabs>
                <w:tab w:val="left" w:pos="1625"/>
              </w:tabs>
              <w:jc w:val="left"/>
              <w:rPr>
                <w:noProof/>
                <w:lang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9F144D6" w14:textId="77777777" w:rsidR="00AC2E21" w:rsidRPr="00430A45" w:rsidRDefault="00AC2E21" w:rsidP="00E80812">
            <w:pPr>
              <w:keepNext/>
              <w:tabs>
                <w:tab w:val="left" w:pos="1625"/>
              </w:tabs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77EAA3A0" w14:textId="77777777" w:rsidR="00AC2E21" w:rsidRDefault="00AC2E21" w:rsidP="00E80812">
            <w:pPr>
              <w:keepNext/>
              <w:tabs>
                <w:tab w:val="left" w:pos="1625"/>
              </w:tabs>
              <w:jc w:val="left"/>
              <w:rPr>
                <w:noProof/>
                <w:lang w:eastAsia="en-CA"/>
              </w:rPr>
            </w:pPr>
          </w:p>
        </w:tc>
      </w:tr>
    </w:tbl>
    <w:p w14:paraId="20D4261E" w14:textId="183524AA" w:rsidR="000C5F5E" w:rsidRDefault="000C5F5E" w:rsidP="00E80812">
      <w:pPr>
        <w:keepNext/>
        <w:tabs>
          <w:tab w:val="left" w:pos="1625"/>
        </w:tabs>
        <w:jc w:val="left"/>
      </w:pPr>
    </w:p>
    <w:sectPr w:rsidR="000C5F5E" w:rsidSect="00B35265">
      <w:footerReference w:type="default" r:id="rId15"/>
      <w:footnotePr>
        <w:numRestart w:val="eachSect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42627" w14:textId="77777777" w:rsidR="00DF0A46" w:rsidRDefault="00DF0A46" w:rsidP="00D04310">
      <w:r>
        <w:separator/>
      </w:r>
    </w:p>
  </w:endnote>
  <w:endnote w:type="continuationSeparator" w:id="0">
    <w:p w14:paraId="20D42628" w14:textId="77777777" w:rsidR="00DF0A46" w:rsidRDefault="00DF0A46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DF0A46" w14:paraId="20D4262B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0D42629" w14:textId="77777777" w:rsidR="00DF0A46" w:rsidRPr="004677E7" w:rsidRDefault="008E1EB9" w:rsidP="007649D1">
          <w:pPr>
            <w:pStyle w:val="Footer"/>
            <w:jc w:val="left"/>
          </w:pPr>
          <w:r>
            <w:fldChar w:fldCharType="begin"/>
          </w:r>
          <w:r>
            <w:instrText xml:space="preserve"> REF _Ref358967577 \h </w:instrText>
          </w:r>
          <w:r>
            <w:fldChar w:fldCharType="separate"/>
          </w:r>
          <w:r w:rsidR="0065464C">
            <w:t>Tutorial</w:t>
          </w:r>
          <w:r w:rsidR="0065464C" w:rsidRPr="00BE4329">
            <w:t xml:space="preserve"> </w:t>
          </w:r>
          <w:r w:rsidR="0065464C">
            <w:t>–</w:t>
          </w:r>
          <w:r w:rsidR="0065464C" w:rsidRPr="00BE4329">
            <w:t xml:space="preserve"> </w:t>
          </w:r>
          <w:r w:rsidR="0065464C">
            <w:t>Repeated measurements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0D4262A" w14:textId="77777777" w:rsidR="00DF0A46" w:rsidRPr="00A610E2" w:rsidRDefault="00DF0A46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65464C" w:rsidRPr="0065464C">
            <w:rPr>
              <w:bCs/>
              <w:noProof/>
              <w:color w:val="auto"/>
            </w:rPr>
            <w:t>2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0D4262C" w14:textId="77777777" w:rsidR="00DF0A46" w:rsidRDefault="00DF0A46" w:rsidP="00D04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42625" w14:textId="77777777" w:rsidR="00DF0A46" w:rsidRDefault="00DF0A46" w:rsidP="00D04310">
      <w:r>
        <w:separator/>
      </w:r>
    </w:p>
  </w:footnote>
  <w:footnote w:type="continuationSeparator" w:id="0">
    <w:p w14:paraId="20D42626" w14:textId="77777777" w:rsidR="00DF0A46" w:rsidRDefault="00DF0A46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F427E"/>
    <w:multiLevelType w:val="hybridMultilevel"/>
    <w:tmpl w:val="5B181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06C6B"/>
    <w:multiLevelType w:val="hybridMultilevel"/>
    <w:tmpl w:val="1EDC4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16"/>
  </w:num>
  <w:num w:numId="9">
    <w:abstractNumId w:val="22"/>
  </w:num>
  <w:num w:numId="10">
    <w:abstractNumId w:val="20"/>
  </w:num>
  <w:num w:numId="11">
    <w:abstractNumId w:val="0"/>
  </w:num>
  <w:num w:numId="12">
    <w:abstractNumId w:val="3"/>
  </w:num>
  <w:num w:numId="13">
    <w:abstractNumId w:val="10"/>
  </w:num>
  <w:num w:numId="14">
    <w:abstractNumId w:val="15"/>
  </w:num>
  <w:num w:numId="15">
    <w:abstractNumId w:val="18"/>
  </w:num>
  <w:num w:numId="16">
    <w:abstractNumId w:val="21"/>
  </w:num>
  <w:num w:numId="17">
    <w:abstractNumId w:val="14"/>
  </w:num>
  <w:num w:numId="18">
    <w:abstractNumId w:val="7"/>
  </w:num>
  <w:num w:numId="19">
    <w:abstractNumId w:val="2"/>
  </w:num>
  <w:num w:numId="20">
    <w:abstractNumId w:val="19"/>
  </w:num>
  <w:num w:numId="21">
    <w:abstractNumId w:val="13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3016D"/>
    <w:rsid w:val="00030592"/>
    <w:rsid w:val="00032C42"/>
    <w:rsid w:val="00035867"/>
    <w:rsid w:val="00043246"/>
    <w:rsid w:val="0004637E"/>
    <w:rsid w:val="00053B41"/>
    <w:rsid w:val="00066774"/>
    <w:rsid w:val="00076985"/>
    <w:rsid w:val="00082F0B"/>
    <w:rsid w:val="00087D5B"/>
    <w:rsid w:val="0009587E"/>
    <w:rsid w:val="000978A1"/>
    <w:rsid w:val="000A1594"/>
    <w:rsid w:val="000A53F9"/>
    <w:rsid w:val="000B3373"/>
    <w:rsid w:val="000C1C03"/>
    <w:rsid w:val="000C5F5E"/>
    <w:rsid w:val="000E55BE"/>
    <w:rsid w:val="000F0847"/>
    <w:rsid w:val="000F1D74"/>
    <w:rsid w:val="000F6ADF"/>
    <w:rsid w:val="000F7D4C"/>
    <w:rsid w:val="001148D5"/>
    <w:rsid w:val="00114E4A"/>
    <w:rsid w:val="00117D70"/>
    <w:rsid w:val="00130007"/>
    <w:rsid w:val="00131250"/>
    <w:rsid w:val="00133383"/>
    <w:rsid w:val="00134554"/>
    <w:rsid w:val="00142EAC"/>
    <w:rsid w:val="00156A57"/>
    <w:rsid w:val="00160105"/>
    <w:rsid w:val="0016287D"/>
    <w:rsid w:val="00167BA7"/>
    <w:rsid w:val="00174962"/>
    <w:rsid w:val="001821B5"/>
    <w:rsid w:val="001A21B0"/>
    <w:rsid w:val="001A6E6F"/>
    <w:rsid w:val="001B5EC4"/>
    <w:rsid w:val="00203FB5"/>
    <w:rsid w:val="00210680"/>
    <w:rsid w:val="00217E54"/>
    <w:rsid w:val="00222807"/>
    <w:rsid w:val="002262AF"/>
    <w:rsid w:val="00236936"/>
    <w:rsid w:val="002371B8"/>
    <w:rsid w:val="00244E47"/>
    <w:rsid w:val="002608DF"/>
    <w:rsid w:val="002853C6"/>
    <w:rsid w:val="002903A6"/>
    <w:rsid w:val="0029709D"/>
    <w:rsid w:val="002A0537"/>
    <w:rsid w:val="002A413B"/>
    <w:rsid w:val="002A51BC"/>
    <w:rsid w:val="002A5567"/>
    <w:rsid w:val="002B3D31"/>
    <w:rsid w:val="002B56BF"/>
    <w:rsid w:val="002B56F6"/>
    <w:rsid w:val="002C1734"/>
    <w:rsid w:val="002C2B86"/>
    <w:rsid w:val="002C39FD"/>
    <w:rsid w:val="002D1DCA"/>
    <w:rsid w:val="002D3C8A"/>
    <w:rsid w:val="002D73A6"/>
    <w:rsid w:val="002E290A"/>
    <w:rsid w:val="002E3CE5"/>
    <w:rsid w:val="002E558A"/>
    <w:rsid w:val="002E5E27"/>
    <w:rsid w:val="002F1666"/>
    <w:rsid w:val="002F23E0"/>
    <w:rsid w:val="002F6683"/>
    <w:rsid w:val="00302795"/>
    <w:rsid w:val="0030300F"/>
    <w:rsid w:val="00306617"/>
    <w:rsid w:val="0031213E"/>
    <w:rsid w:val="003121A6"/>
    <w:rsid w:val="00314DA2"/>
    <w:rsid w:val="00317D38"/>
    <w:rsid w:val="00321AF5"/>
    <w:rsid w:val="003335E4"/>
    <w:rsid w:val="00336DED"/>
    <w:rsid w:val="00340B5C"/>
    <w:rsid w:val="00343D55"/>
    <w:rsid w:val="00346871"/>
    <w:rsid w:val="0035479B"/>
    <w:rsid w:val="00356D06"/>
    <w:rsid w:val="00361F92"/>
    <w:rsid w:val="00384283"/>
    <w:rsid w:val="00387032"/>
    <w:rsid w:val="00391DAF"/>
    <w:rsid w:val="0039511B"/>
    <w:rsid w:val="00397DF2"/>
    <w:rsid w:val="003A19D8"/>
    <w:rsid w:val="003A286F"/>
    <w:rsid w:val="003A70D2"/>
    <w:rsid w:val="003C15EF"/>
    <w:rsid w:val="003C3E64"/>
    <w:rsid w:val="003D0CA5"/>
    <w:rsid w:val="003D0FBF"/>
    <w:rsid w:val="003D7ECA"/>
    <w:rsid w:val="003E0F09"/>
    <w:rsid w:val="003E23EB"/>
    <w:rsid w:val="004029FD"/>
    <w:rsid w:val="0040439E"/>
    <w:rsid w:val="004058FE"/>
    <w:rsid w:val="00405D3C"/>
    <w:rsid w:val="0041734D"/>
    <w:rsid w:val="00430A45"/>
    <w:rsid w:val="0043712C"/>
    <w:rsid w:val="0044225B"/>
    <w:rsid w:val="00463AB9"/>
    <w:rsid w:val="00464636"/>
    <w:rsid w:val="00465B5A"/>
    <w:rsid w:val="00465F79"/>
    <w:rsid w:val="004677E7"/>
    <w:rsid w:val="00483D0B"/>
    <w:rsid w:val="00486C75"/>
    <w:rsid w:val="004924C5"/>
    <w:rsid w:val="004936DA"/>
    <w:rsid w:val="00493BBA"/>
    <w:rsid w:val="004B2DA6"/>
    <w:rsid w:val="004E633D"/>
    <w:rsid w:val="004F7E5C"/>
    <w:rsid w:val="005167CE"/>
    <w:rsid w:val="0052422E"/>
    <w:rsid w:val="00536957"/>
    <w:rsid w:val="005413DE"/>
    <w:rsid w:val="00550682"/>
    <w:rsid w:val="00554189"/>
    <w:rsid w:val="00567637"/>
    <w:rsid w:val="00572269"/>
    <w:rsid w:val="0057442B"/>
    <w:rsid w:val="005749D9"/>
    <w:rsid w:val="00585FC3"/>
    <w:rsid w:val="00592093"/>
    <w:rsid w:val="00595404"/>
    <w:rsid w:val="00596045"/>
    <w:rsid w:val="005A128E"/>
    <w:rsid w:val="005B71E4"/>
    <w:rsid w:val="005C3BDB"/>
    <w:rsid w:val="005C54B4"/>
    <w:rsid w:val="005C6288"/>
    <w:rsid w:val="005D1097"/>
    <w:rsid w:val="005D20B1"/>
    <w:rsid w:val="005E6481"/>
    <w:rsid w:val="005F3A6B"/>
    <w:rsid w:val="00600B33"/>
    <w:rsid w:val="006024EA"/>
    <w:rsid w:val="00602AAD"/>
    <w:rsid w:val="00611CCE"/>
    <w:rsid w:val="00620695"/>
    <w:rsid w:val="006233D2"/>
    <w:rsid w:val="00625AED"/>
    <w:rsid w:val="0065142E"/>
    <w:rsid w:val="006516C1"/>
    <w:rsid w:val="006537A1"/>
    <w:rsid w:val="0065464C"/>
    <w:rsid w:val="00662BAA"/>
    <w:rsid w:val="0066771A"/>
    <w:rsid w:val="00673D34"/>
    <w:rsid w:val="00673FC5"/>
    <w:rsid w:val="00681EE3"/>
    <w:rsid w:val="00682C46"/>
    <w:rsid w:val="00693B4A"/>
    <w:rsid w:val="00694F97"/>
    <w:rsid w:val="0069541A"/>
    <w:rsid w:val="006A1F9E"/>
    <w:rsid w:val="006A222A"/>
    <w:rsid w:val="006C21C5"/>
    <w:rsid w:val="006D0E09"/>
    <w:rsid w:val="006D149F"/>
    <w:rsid w:val="006D59CB"/>
    <w:rsid w:val="006E565F"/>
    <w:rsid w:val="006F79D0"/>
    <w:rsid w:val="007243AA"/>
    <w:rsid w:val="00732165"/>
    <w:rsid w:val="00736A45"/>
    <w:rsid w:val="00745631"/>
    <w:rsid w:val="00745E2A"/>
    <w:rsid w:val="00747A75"/>
    <w:rsid w:val="007519A5"/>
    <w:rsid w:val="007572F0"/>
    <w:rsid w:val="007649D1"/>
    <w:rsid w:val="00785812"/>
    <w:rsid w:val="00787434"/>
    <w:rsid w:val="007920D2"/>
    <w:rsid w:val="00797AB3"/>
    <w:rsid w:val="007A0E6C"/>
    <w:rsid w:val="007B387A"/>
    <w:rsid w:val="007B3AC0"/>
    <w:rsid w:val="007B6E4F"/>
    <w:rsid w:val="007B7CF1"/>
    <w:rsid w:val="007C6740"/>
    <w:rsid w:val="007D0BA2"/>
    <w:rsid w:val="007D103C"/>
    <w:rsid w:val="007E384D"/>
    <w:rsid w:val="007F73C2"/>
    <w:rsid w:val="0080111B"/>
    <w:rsid w:val="00803ED8"/>
    <w:rsid w:val="00805293"/>
    <w:rsid w:val="008065CD"/>
    <w:rsid w:val="0082245E"/>
    <w:rsid w:val="00844204"/>
    <w:rsid w:val="00850008"/>
    <w:rsid w:val="00856FFB"/>
    <w:rsid w:val="0086010D"/>
    <w:rsid w:val="0088213C"/>
    <w:rsid w:val="008929D0"/>
    <w:rsid w:val="00892F5C"/>
    <w:rsid w:val="008A0654"/>
    <w:rsid w:val="008A0D57"/>
    <w:rsid w:val="008A3A4F"/>
    <w:rsid w:val="008D0C0D"/>
    <w:rsid w:val="008D4572"/>
    <w:rsid w:val="008E1EB9"/>
    <w:rsid w:val="008E5DC3"/>
    <w:rsid w:val="008E6C03"/>
    <w:rsid w:val="008F208D"/>
    <w:rsid w:val="009067EA"/>
    <w:rsid w:val="009075F9"/>
    <w:rsid w:val="00917164"/>
    <w:rsid w:val="00920170"/>
    <w:rsid w:val="00921632"/>
    <w:rsid w:val="0092513E"/>
    <w:rsid w:val="00942EB9"/>
    <w:rsid w:val="009454C5"/>
    <w:rsid w:val="00945718"/>
    <w:rsid w:val="0094678A"/>
    <w:rsid w:val="00956486"/>
    <w:rsid w:val="00973A7F"/>
    <w:rsid w:val="00983CEB"/>
    <w:rsid w:val="00986CD3"/>
    <w:rsid w:val="009A5FB5"/>
    <w:rsid w:val="009B1C1E"/>
    <w:rsid w:val="009D287B"/>
    <w:rsid w:val="009E2F2A"/>
    <w:rsid w:val="009E573A"/>
    <w:rsid w:val="009E6CE8"/>
    <w:rsid w:val="00A02EDA"/>
    <w:rsid w:val="00A113A2"/>
    <w:rsid w:val="00A145E7"/>
    <w:rsid w:val="00A178B2"/>
    <w:rsid w:val="00A17CEF"/>
    <w:rsid w:val="00A22D24"/>
    <w:rsid w:val="00A30D9E"/>
    <w:rsid w:val="00A41371"/>
    <w:rsid w:val="00A431F3"/>
    <w:rsid w:val="00A56812"/>
    <w:rsid w:val="00A610E2"/>
    <w:rsid w:val="00A7060F"/>
    <w:rsid w:val="00A71950"/>
    <w:rsid w:val="00A851F7"/>
    <w:rsid w:val="00A85465"/>
    <w:rsid w:val="00A86199"/>
    <w:rsid w:val="00A92D08"/>
    <w:rsid w:val="00A94FDE"/>
    <w:rsid w:val="00A95C7F"/>
    <w:rsid w:val="00A96014"/>
    <w:rsid w:val="00A9708A"/>
    <w:rsid w:val="00AA63D4"/>
    <w:rsid w:val="00AB201A"/>
    <w:rsid w:val="00AB543B"/>
    <w:rsid w:val="00AB5A00"/>
    <w:rsid w:val="00AC2E21"/>
    <w:rsid w:val="00AC60B9"/>
    <w:rsid w:val="00AC7081"/>
    <w:rsid w:val="00AD0E8B"/>
    <w:rsid w:val="00AD186D"/>
    <w:rsid w:val="00AD74F9"/>
    <w:rsid w:val="00AE363C"/>
    <w:rsid w:val="00AE48ED"/>
    <w:rsid w:val="00B01A99"/>
    <w:rsid w:val="00B0310A"/>
    <w:rsid w:val="00B06D66"/>
    <w:rsid w:val="00B10D89"/>
    <w:rsid w:val="00B12E53"/>
    <w:rsid w:val="00B161CF"/>
    <w:rsid w:val="00B22F1A"/>
    <w:rsid w:val="00B323BF"/>
    <w:rsid w:val="00B35265"/>
    <w:rsid w:val="00B3539E"/>
    <w:rsid w:val="00B551F4"/>
    <w:rsid w:val="00B5790D"/>
    <w:rsid w:val="00B604EE"/>
    <w:rsid w:val="00B605B4"/>
    <w:rsid w:val="00B650FB"/>
    <w:rsid w:val="00B70457"/>
    <w:rsid w:val="00B76594"/>
    <w:rsid w:val="00B82CA5"/>
    <w:rsid w:val="00B85956"/>
    <w:rsid w:val="00B952B7"/>
    <w:rsid w:val="00BA3011"/>
    <w:rsid w:val="00BA3EB8"/>
    <w:rsid w:val="00BA448B"/>
    <w:rsid w:val="00BA6E5E"/>
    <w:rsid w:val="00BC71ED"/>
    <w:rsid w:val="00BE4329"/>
    <w:rsid w:val="00BE4535"/>
    <w:rsid w:val="00BF17FA"/>
    <w:rsid w:val="00BF3A5B"/>
    <w:rsid w:val="00C03786"/>
    <w:rsid w:val="00C10996"/>
    <w:rsid w:val="00C11679"/>
    <w:rsid w:val="00C161FA"/>
    <w:rsid w:val="00C2139C"/>
    <w:rsid w:val="00C2290E"/>
    <w:rsid w:val="00C22A8F"/>
    <w:rsid w:val="00C261AE"/>
    <w:rsid w:val="00C32C8E"/>
    <w:rsid w:val="00C44F48"/>
    <w:rsid w:val="00C4766B"/>
    <w:rsid w:val="00C65221"/>
    <w:rsid w:val="00C70AC1"/>
    <w:rsid w:val="00C750E6"/>
    <w:rsid w:val="00C76669"/>
    <w:rsid w:val="00C82C5D"/>
    <w:rsid w:val="00C82DF6"/>
    <w:rsid w:val="00C92E9B"/>
    <w:rsid w:val="00C93285"/>
    <w:rsid w:val="00CA2AB3"/>
    <w:rsid w:val="00CA5D26"/>
    <w:rsid w:val="00CA781C"/>
    <w:rsid w:val="00CA7A29"/>
    <w:rsid w:val="00CC069B"/>
    <w:rsid w:val="00CC62AD"/>
    <w:rsid w:val="00CD6BEE"/>
    <w:rsid w:val="00CD7C91"/>
    <w:rsid w:val="00CF1A80"/>
    <w:rsid w:val="00CF26B8"/>
    <w:rsid w:val="00CF75AC"/>
    <w:rsid w:val="00D04310"/>
    <w:rsid w:val="00D12A1F"/>
    <w:rsid w:val="00D12D9C"/>
    <w:rsid w:val="00D25166"/>
    <w:rsid w:val="00D408A4"/>
    <w:rsid w:val="00D40EF6"/>
    <w:rsid w:val="00D50054"/>
    <w:rsid w:val="00D5601A"/>
    <w:rsid w:val="00D6226C"/>
    <w:rsid w:val="00D64087"/>
    <w:rsid w:val="00D715E2"/>
    <w:rsid w:val="00D724C2"/>
    <w:rsid w:val="00D7300B"/>
    <w:rsid w:val="00D74812"/>
    <w:rsid w:val="00D749AB"/>
    <w:rsid w:val="00D80E28"/>
    <w:rsid w:val="00D869D8"/>
    <w:rsid w:val="00D91E91"/>
    <w:rsid w:val="00D97688"/>
    <w:rsid w:val="00DB7419"/>
    <w:rsid w:val="00DD1E5C"/>
    <w:rsid w:val="00DD3E2C"/>
    <w:rsid w:val="00DD54BE"/>
    <w:rsid w:val="00DE3528"/>
    <w:rsid w:val="00DE7853"/>
    <w:rsid w:val="00DF0A46"/>
    <w:rsid w:val="00DF2A9D"/>
    <w:rsid w:val="00DF55AC"/>
    <w:rsid w:val="00E05C7C"/>
    <w:rsid w:val="00E06987"/>
    <w:rsid w:val="00E16B19"/>
    <w:rsid w:val="00E34325"/>
    <w:rsid w:val="00E347D9"/>
    <w:rsid w:val="00E40AFE"/>
    <w:rsid w:val="00E51FCE"/>
    <w:rsid w:val="00E577E1"/>
    <w:rsid w:val="00E647D1"/>
    <w:rsid w:val="00E77A75"/>
    <w:rsid w:val="00E80812"/>
    <w:rsid w:val="00E8566F"/>
    <w:rsid w:val="00E95242"/>
    <w:rsid w:val="00EB5551"/>
    <w:rsid w:val="00EE7438"/>
    <w:rsid w:val="00EF1CAA"/>
    <w:rsid w:val="00F03FB8"/>
    <w:rsid w:val="00F05E09"/>
    <w:rsid w:val="00F21923"/>
    <w:rsid w:val="00F30EB9"/>
    <w:rsid w:val="00F31672"/>
    <w:rsid w:val="00F37EB2"/>
    <w:rsid w:val="00F4721F"/>
    <w:rsid w:val="00F51112"/>
    <w:rsid w:val="00F52DB1"/>
    <w:rsid w:val="00F64489"/>
    <w:rsid w:val="00F64AB4"/>
    <w:rsid w:val="00F66761"/>
    <w:rsid w:val="00F66AB1"/>
    <w:rsid w:val="00F67D4E"/>
    <w:rsid w:val="00F71FA5"/>
    <w:rsid w:val="00F7459F"/>
    <w:rsid w:val="00F81D04"/>
    <w:rsid w:val="00F9664F"/>
    <w:rsid w:val="00F968F6"/>
    <w:rsid w:val="00F978DE"/>
    <w:rsid w:val="00FC1ABD"/>
    <w:rsid w:val="00FE1F66"/>
    <w:rsid w:val="00FE2C82"/>
    <w:rsid w:val="00FF0B42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0D4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6B8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6B8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26B8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26B8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6B8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6B8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26B8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26B8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3A72C-7812-4D15-B6DD-B4901728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5</cp:revision>
  <cp:lastPrinted>2017-10-19T17:44:00Z</cp:lastPrinted>
  <dcterms:created xsi:type="dcterms:W3CDTF">2017-10-06T13:16:00Z</dcterms:created>
  <dcterms:modified xsi:type="dcterms:W3CDTF">2017-10-19T17:44:00Z</dcterms:modified>
</cp:coreProperties>
</file>