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29" w:rsidRDefault="00B35265" w:rsidP="00F64489">
      <w:pPr>
        <w:pStyle w:val="Heading1"/>
      </w:pPr>
      <w:bookmarkStart w:id="0" w:name="_Ref358291343"/>
      <w:bookmarkStart w:id="1" w:name="_Ref358632470"/>
      <w:bookmarkStart w:id="2" w:name="_Ref358967577"/>
      <w:r>
        <w:t>Tutorial</w:t>
      </w:r>
      <w:r w:rsidR="00082F0B" w:rsidRPr="00BE4329">
        <w:t xml:space="preserve"> </w:t>
      </w:r>
      <w:r w:rsidR="00602AAD">
        <w:t>–</w:t>
      </w:r>
      <w:r w:rsidR="00082F0B" w:rsidRPr="00BE4329">
        <w:t xml:space="preserve"> </w:t>
      </w:r>
      <w:bookmarkEnd w:id="0"/>
      <w:bookmarkEnd w:id="1"/>
      <w:r w:rsidR="00A11272">
        <w:t>Measuring techniques</w:t>
      </w:r>
      <w:bookmarkEnd w:id="2"/>
      <w:r w:rsidR="00A30D9E" w:rsidRPr="00BE4329">
        <w:t xml:space="preserve"> </w:t>
      </w:r>
    </w:p>
    <w:p w:rsidR="00031D8F" w:rsidRDefault="00031D8F" w:rsidP="00031D8F">
      <w:pPr>
        <w:pStyle w:val="Heading2"/>
        <w:rPr>
          <w:b w:val="0"/>
          <w:color w:val="000000"/>
          <w:sz w:val="20"/>
          <w:szCs w:val="20"/>
        </w:rPr>
      </w:pPr>
      <w:r w:rsidRPr="00031D8F">
        <w:rPr>
          <w:b w:val="0"/>
          <w:color w:val="000000"/>
          <w:sz w:val="20"/>
          <w:szCs w:val="20"/>
        </w:rPr>
        <w:t>Every experiment in the elementary laboratory involves measurement. The kind of measurement will depend</w:t>
      </w:r>
      <w:r>
        <w:rPr>
          <w:b w:val="0"/>
          <w:color w:val="000000"/>
          <w:sz w:val="20"/>
          <w:szCs w:val="20"/>
        </w:rPr>
        <w:t xml:space="preserve"> </w:t>
      </w:r>
      <w:r w:rsidRPr="00031D8F">
        <w:rPr>
          <w:b w:val="0"/>
          <w:color w:val="000000"/>
          <w:sz w:val="20"/>
          <w:szCs w:val="20"/>
        </w:rPr>
        <w:t>on the particular experiment, but there are certain basic measurements which are common to many different</w:t>
      </w:r>
      <w:r>
        <w:rPr>
          <w:b w:val="0"/>
          <w:color w:val="000000"/>
          <w:sz w:val="20"/>
          <w:szCs w:val="20"/>
        </w:rPr>
        <w:t xml:space="preserve"> </w:t>
      </w:r>
      <w:r w:rsidRPr="00031D8F">
        <w:rPr>
          <w:b w:val="0"/>
          <w:color w:val="000000"/>
          <w:sz w:val="20"/>
          <w:szCs w:val="20"/>
        </w:rPr>
        <w:t>experiments.</w:t>
      </w:r>
      <w:r w:rsidR="00ED01D5">
        <w:rPr>
          <w:b w:val="0"/>
          <w:color w:val="000000"/>
          <w:sz w:val="20"/>
          <w:szCs w:val="20"/>
        </w:rPr>
        <w:t xml:space="preserve"> </w:t>
      </w:r>
      <w:r w:rsidRPr="00031D8F">
        <w:rPr>
          <w:b w:val="0"/>
          <w:color w:val="000000"/>
          <w:sz w:val="20"/>
          <w:szCs w:val="20"/>
        </w:rPr>
        <w:t>The following notes are intended to be a guide to the correct use of some common laboratory</w:t>
      </w:r>
      <w:r>
        <w:rPr>
          <w:b w:val="0"/>
          <w:color w:val="000000"/>
          <w:sz w:val="20"/>
          <w:szCs w:val="20"/>
        </w:rPr>
        <w:t xml:space="preserve"> </w:t>
      </w:r>
      <w:r w:rsidRPr="00031D8F">
        <w:rPr>
          <w:b w:val="0"/>
          <w:color w:val="000000"/>
          <w:sz w:val="20"/>
          <w:szCs w:val="20"/>
        </w:rPr>
        <w:t>instruments and to su</w:t>
      </w:r>
      <w:r w:rsidR="00ED01D5">
        <w:rPr>
          <w:b w:val="0"/>
          <w:color w:val="000000"/>
          <w:sz w:val="20"/>
          <w:szCs w:val="20"/>
        </w:rPr>
        <w:t>ggest good measuring techniques</w:t>
      </w:r>
      <w:r w:rsidRPr="00031D8F">
        <w:rPr>
          <w:b w:val="0"/>
          <w:color w:val="000000"/>
          <w:sz w:val="20"/>
          <w:szCs w:val="20"/>
        </w:rPr>
        <w:t>.</w:t>
      </w:r>
    </w:p>
    <w:p w:rsidR="003834B8" w:rsidRPr="003834B8" w:rsidRDefault="003834B8" w:rsidP="003834B8"/>
    <w:p w:rsidR="00F34FA1" w:rsidRDefault="00F34FA1" w:rsidP="00F34FA1">
      <w:pPr>
        <w:pStyle w:val="Heading2"/>
        <w:rPr>
          <w:lang w:val="en-GB"/>
        </w:rPr>
      </w:pPr>
      <w:r>
        <w:rPr>
          <w:lang w:val="en-GB"/>
        </w:rPr>
        <w:t>Mass measurements</w:t>
      </w:r>
    </w:p>
    <w:p w:rsidR="00F34FA1" w:rsidRDefault="00F34FA1" w:rsidP="00F34FA1">
      <w:pPr>
        <w:rPr>
          <w:rFonts w:eastAsiaTheme="minorEastAsia"/>
          <w:lang w:val="en-GB"/>
        </w:rPr>
      </w:pPr>
      <w:r>
        <w:rPr>
          <w:lang w:val="en-GB"/>
        </w:rPr>
        <w:t xml:space="preserve">We use electronic balances which are accurate to </w:t>
      </w:r>
      <m:oMath>
        <m:r>
          <w:rPr>
            <w:rFonts w:ascii="Cambria Math" w:hAnsi="Cambria Math"/>
            <w:lang w:val="en-GB"/>
          </w:rPr>
          <m:t>±1</m:t>
        </m:r>
      </m:oMath>
      <w:r>
        <w:rPr>
          <w:rFonts w:eastAsiaTheme="minorEastAsia"/>
          <w:lang w:val="en-GB"/>
        </w:rPr>
        <w:t xml:space="preserve"> on their last digit (</w:t>
      </w:r>
      <m:oMath>
        <m:r>
          <w:rPr>
            <w:rFonts w:ascii="Cambria Math" w:eastAsiaTheme="minorEastAsia" w:hAnsi="Cambria Math"/>
            <w:lang w:val="en-GB"/>
          </w:rPr>
          <m:t>±0.1</m:t>
        </m:r>
      </m:oMath>
      <w:r>
        <w:rPr>
          <w:rFonts w:eastAsiaTheme="minorEastAsia"/>
          <w:lang w:val="en-GB"/>
        </w:rPr>
        <w:t xml:space="preserve">g).  Make sure to level and zero the balance before using it.     </w:t>
      </w:r>
    </w:p>
    <w:p w:rsidR="00F34FA1" w:rsidRPr="004F634C" w:rsidRDefault="00F34FA1" w:rsidP="00F34FA1">
      <w:pPr>
        <w:rPr>
          <w:lang w:val="en-GB"/>
        </w:rPr>
      </w:pPr>
    </w:p>
    <w:p w:rsidR="00F34FA1" w:rsidRDefault="00F34FA1" w:rsidP="00F34FA1">
      <w:pPr>
        <w:pStyle w:val="Heading2"/>
      </w:pPr>
      <w:r>
        <w:t>Time measurements</w:t>
      </w:r>
    </w:p>
    <w:p w:rsidR="00F34FA1" w:rsidRDefault="00F34FA1" w:rsidP="00F34FA1">
      <w:r w:rsidRPr="00A11272">
        <w:t>Time measurements can be made using an electronic timer, wh</w:t>
      </w:r>
      <w:r>
        <w:t>ich is accurate to 0.01</w:t>
      </w:r>
      <w:r w:rsidRPr="00A11272">
        <w:t>s. When measuring a time interval it is necessary to add an uncertainty of 0.2</w:t>
      </w:r>
      <w:r>
        <w:t>s to 0.5</w:t>
      </w:r>
      <w:r w:rsidRPr="00A11272">
        <w:t>s. due to the human reaction time. Hence to achieve higher accuracy for a period of oscillation, measurements should be made over many periods (e.g.</w:t>
      </w:r>
      <w:r>
        <w:t>,</w:t>
      </w:r>
      <w:r w:rsidRPr="00A11272">
        <w:t xml:space="preserve"> over 100 periods).</w:t>
      </w:r>
    </w:p>
    <w:p w:rsidR="00F34FA1" w:rsidRDefault="00F34FA1" w:rsidP="00F34FA1">
      <w:pPr>
        <w:pStyle w:val="Heading3"/>
      </w:pPr>
      <w:r>
        <w:t xml:space="preserve">Example: Period of </w:t>
      </w:r>
      <w:r w:rsidRPr="00526597">
        <w:t>oscillation</w:t>
      </w:r>
      <w:r>
        <w:t xml:space="preserve"> of a mass-spring system</w:t>
      </w:r>
    </w:p>
    <w:p w:rsidR="00F34FA1" w:rsidRDefault="00F34FA1" w:rsidP="00F34FA1">
      <w:pPr>
        <w:pStyle w:val="ListParagraph"/>
        <w:numPr>
          <w:ilvl w:val="0"/>
          <w:numId w:val="25"/>
        </w:numPr>
        <w:rPr>
          <w:lang w:val="en-GB"/>
        </w:rPr>
      </w:pPr>
      <w:r w:rsidRPr="0002699F">
        <w:rPr>
          <w:lang w:val="en-GB"/>
        </w:rPr>
        <w:t>S</w:t>
      </w:r>
      <w:r>
        <w:rPr>
          <w:lang w:val="en-GB"/>
        </w:rPr>
        <w:t xml:space="preserve">elect a mark or position </w:t>
      </w:r>
      <w:r w:rsidRPr="0002699F">
        <w:rPr>
          <w:lang w:val="en-GB"/>
        </w:rPr>
        <w:t>which is in line with a part of the oscillating system when it is at rest. A complete oscillation has taken place when the system returns to this point, moving in the same direction.</w:t>
      </w:r>
      <w:r>
        <w:rPr>
          <w:lang w:val="en-GB"/>
        </w:rPr>
        <w:t xml:space="preserve">  </w:t>
      </w:r>
    </w:p>
    <w:p w:rsidR="00F34FA1" w:rsidRDefault="00F34FA1" w:rsidP="00F34FA1">
      <w:pPr>
        <w:pStyle w:val="ListParagraph"/>
        <w:numPr>
          <w:ilvl w:val="0"/>
          <w:numId w:val="25"/>
        </w:numPr>
        <w:jc w:val="left"/>
        <w:rPr>
          <w:lang w:val="en-GB"/>
        </w:rPr>
      </w:pPr>
      <w:r w:rsidRPr="0002699F">
        <w:rPr>
          <w:lang w:val="en-GB"/>
        </w:rPr>
        <w:t>Do not use the end points of the oscillation (where the direction changes) to measure the perio</w:t>
      </w:r>
      <w:r>
        <w:rPr>
          <w:lang w:val="en-GB"/>
        </w:rPr>
        <w:t>d, since the amplitude decreases</w:t>
      </w:r>
      <w:r w:rsidRPr="0002699F">
        <w:rPr>
          <w:lang w:val="en-GB"/>
        </w:rPr>
        <w:t xml:space="preserve"> with time.</w:t>
      </w:r>
      <w:r>
        <w:rPr>
          <w:lang w:val="en-GB"/>
        </w:rPr>
        <w:t xml:space="preserve"> </w:t>
      </w:r>
    </w:p>
    <w:p w:rsidR="00F34FA1" w:rsidRDefault="00F34FA1" w:rsidP="00F34FA1">
      <w:pPr>
        <w:pStyle w:val="ListParagraph"/>
        <w:numPr>
          <w:ilvl w:val="0"/>
          <w:numId w:val="25"/>
        </w:numPr>
        <w:jc w:val="left"/>
        <w:rPr>
          <w:lang w:val="en-GB"/>
        </w:rPr>
      </w:pPr>
      <w:r w:rsidRPr="0002699F">
        <w:rPr>
          <w:lang w:val="en-GB"/>
        </w:rPr>
        <w:t>The number of oscillations measured will determine the accuracy of the measurement.</w:t>
      </w:r>
      <w:r>
        <w:rPr>
          <w:lang w:val="en-GB"/>
        </w:rPr>
        <w:t xml:space="preserve"> </w:t>
      </w:r>
    </w:p>
    <w:p w:rsidR="00F34FA1" w:rsidRDefault="00F34FA1" w:rsidP="00F34FA1">
      <w:pPr>
        <w:pStyle w:val="ListParagraph"/>
        <w:numPr>
          <w:ilvl w:val="0"/>
          <w:numId w:val="25"/>
        </w:numPr>
        <w:jc w:val="left"/>
        <w:rPr>
          <w:lang w:val="en-GB"/>
        </w:rPr>
      </w:pPr>
      <w:r w:rsidRPr="0002699F">
        <w:rPr>
          <w:lang w:val="en-GB"/>
        </w:rPr>
        <w:t>Take at least two independent measurements to find the period.</w:t>
      </w:r>
      <w:r>
        <w:rPr>
          <w:lang w:val="en-GB"/>
        </w:rPr>
        <w:t xml:space="preserve"> </w:t>
      </w:r>
    </w:p>
    <w:p w:rsidR="00F34FA1" w:rsidRDefault="00F34FA1" w:rsidP="00F34FA1">
      <w:pPr>
        <w:pStyle w:val="ListParagraph"/>
        <w:numPr>
          <w:ilvl w:val="0"/>
          <w:numId w:val="25"/>
        </w:numPr>
        <w:jc w:val="left"/>
        <w:rPr>
          <w:lang w:val="en-GB"/>
        </w:rPr>
      </w:pPr>
      <w:r w:rsidRPr="0002699F">
        <w:rPr>
          <w:lang w:val="en-GB"/>
        </w:rPr>
        <w:t>Let the oscillating body settle into a rhythm before starting the timer.</w:t>
      </w:r>
      <w:r>
        <w:rPr>
          <w:lang w:val="en-GB"/>
        </w:rPr>
        <w:t xml:space="preserve"> </w:t>
      </w:r>
    </w:p>
    <w:p w:rsidR="00F34FA1" w:rsidRPr="00AC6965" w:rsidRDefault="00F34FA1" w:rsidP="00F34FA1">
      <w:pPr>
        <w:pStyle w:val="ListParagraph"/>
        <w:numPr>
          <w:ilvl w:val="0"/>
          <w:numId w:val="25"/>
        </w:numPr>
        <w:jc w:val="left"/>
        <w:rPr>
          <w:lang w:val="en-GB"/>
        </w:rPr>
      </w:pPr>
      <w:r w:rsidRPr="0002699F">
        <w:rPr>
          <w:lang w:val="en-GB"/>
        </w:rPr>
        <w:t>Start counting at zero, i.e.</w:t>
      </w:r>
      <w:r>
        <w:rPr>
          <w:lang w:val="en-GB"/>
        </w:rPr>
        <w:t>,</w:t>
      </w:r>
      <w:r w:rsidRPr="0002699F">
        <w:rPr>
          <w:lang w:val="en-GB"/>
        </w:rPr>
        <w:t xml:space="preserve"> the count is one only </w:t>
      </w:r>
      <w:r>
        <w:rPr>
          <w:lang w:val="en-GB"/>
        </w:rPr>
        <w:t>after</w:t>
      </w:r>
      <w:r w:rsidRPr="0002699F">
        <w:rPr>
          <w:lang w:val="en-GB"/>
        </w:rPr>
        <w:t xml:space="preserve"> one complete oscillation.</w:t>
      </w:r>
      <w:r>
        <w:rPr>
          <w:lang w:val="en-GB"/>
        </w:rPr>
        <w:br/>
      </w:r>
    </w:p>
    <w:p w:rsidR="00031D8F" w:rsidRDefault="00031D8F" w:rsidP="00031D8F">
      <w:pPr>
        <w:pStyle w:val="Heading2"/>
      </w:pPr>
      <w:r>
        <w:t>Reading scales</w:t>
      </w:r>
    </w:p>
    <w:p w:rsidR="00687987" w:rsidRDefault="00687987" w:rsidP="00687987">
      <w:pPr>
        <w:pStyle w:val="Heading3"/>
      </w:pPr>
      <w:r>
        <w:t>The general rule</w:t>
      </w:r>
    </w:p>
    <w:p w:rsidR="00687987" w:rsidRDefault="00031D8F" w:rsidP="00031D8F">
      <w:r>
        <w:t xml:space="preserve">When </w:t>
      </w:r>
      <w:r w:rsidR="00687987">
        <w:t>reading a single value on a scale (measuring a position along a ruler or a volume using a graduated cylinder), the reading corresponds to the closest mark on the scale and the error on the measurement is then half of the smallest division.</w:t>
      </w:r>
      <w:r w:rsidR="009B0D03">
        <w:t xml:space="preserve">  </w:t>
      </w:r>
    </w:p>
    <w:p w:rsidR="009B0D03" w:rsidRDefault="009B0D03" w:rsidP="009B0D03">
      <w:pPr>
        <w:pStyle w:val="Heading3"/>
      </w:pPr>
      <w:r>
        <w:t>The exceptions</w:t>
      </w:r>
    </w:p>
    <w:p w:rsidR="009B0D03" w:rsidRDefault="009B0D03" w:rsidP="00031D8F">
      <w:r>
        <w:t>There are two exceptions to the general rule stated above:</w:t>
      </w:r>
    </w:p>
    <w:p w:rsidR="00031D8F" w:rsidRDefault="009B0D03" w:rsidP="009B0D03">
      <w:pPr>
        <w:pStyle w:val="ListParagraph"/>
        <w:numPr>
          <w:ilvl w:val="0"/>
          <w:numId w:val="26"/>
        </w:numPr>
      </w:pPr>
      <w:r>
        <w:t>If the spacing between the marks is too small, then the error on the reading can be increased to the smallest division.</w:t>
      </w:r>
    </w:p>
    <w:p w:rsidR="009B0D03" w:rsidRDefault="009B0D03" w:rsidP="009B0D03">
      <w:pPr>
        <w:pStyle w:val="ListParagraph"/>
        <w:numPr>
          <w:ilvl w:val="0"/>
          <w:numId w:val="26"/>
        </w:numPr>
      </w:pPr>
      <w:r>
        <w:t xml:space="preserve">If </w:t>
      </w:r>
      <w:r w:rsidRPr="00445332">
        <w:t>the spacing between the marks is large, the position of the reading and its error can be estimated to a more reasonable value.</w:t>
      </w:r>
      <w:r w:rsidR="004D6C59">
        <w:tab/>
      </w:r>
    </w:p>
    <w:p w:rsidR="004D6C59" w:rsidRDefault="004D6C59" w:rsidP="004D6C59"/>
    <w:p w:rsidR="005F368F" w:rsidRDefault="005F368F" w:rsidP="005F368F">
      <w:pPr>
        <w:pStyle w:val="Heading3"/>
      </w:pPr>
      <w:r>
        <w:lastRenderedPageBreak/>
        <w:t>Examples</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159"/>
      </w:tblGrid>
      <w:tr w:rsidR="008D5691" w:rsidTr="008D5691">
        <w:trPr>
          <w:trHeight w:val="1417"/>
        </w:trPr>
        <w:tc>
          <w:tcPr>
            <w:tcW w:w="4309" w:type="dxa"/>
          </w:tcPr>
          <w:p w:rsidR="004D6C59" w:rsidRDefault="004D6C59" w:rsidP="008D5691">
            <w:pPr>
              <w:jc w:val="center"/>
            </w:pPr>
            <w:r>
              <w:rPr>
                <w:noProof/>
                <w:lang w:val="en-US"/>
              </w:rPr>
              <w:drawing>
                <wp:inline distT="0" distB="0" distL="0" distR="0" wp14:anchorId="0BCA3759" wp14:editId="67BA1896">
                  <wp:extent cx="2473200" cy="705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 a scale - gen ru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200" cy="705600"/>
                          </a:xfrm>
                          <a:prstGeom prst="rect">
                            <a:avLst/>
                          </a:prstGeom>
                        </pic:spPr>
                      </pic:pic>
                    </a:graphicData>
                  </a:graphic>
                </wp:inline>
              </w:drawing>
            </w:r>
          </w:p>
        </w:tc>
        <w:tc>
          <w:tcPr>
            <w:tcW w:w="5159" w:type="dxa"/>
          </w:tcPr>
          <w:p w:rsidR="00FB6908" w:rsidRPr="00FB6908" w:rsidRDefault="004D6C59" w:rsidP="008D5691">
            <w:pPr>
              <w:jc w:val="left"/>
              <w:rPr>
                <w:rFonts w:eastAsiaTheme="minorEastAsia"/>
              </w:rPr>
            </w:pPr>
            <w:r w:rsidRPr="008D5691">
              <w:rPr>
                <w:b/>
              </w:rPr>
              <w:t>The general rule:</w:t>
            </w:r>
            <w:r>
              <w:t xml:space="preserve"> the position indicated by the arrow is between 2.6 cm and 2.7 cm. It is closest to 2.6 cm so the final reading is </w:t>
            </w:r>
            <m:oMath>
              <m:r>
                <w:rPr>
                  <w:rFonts w:ascii="Cambria Math" w:hAnsi="Cambria Math"/>
                </w:rPr>
                <m:t>(2.60±0.05)</m:t>
              </m:r>
            </m:oMath>
            <w:r w:rsidRPr="00445332">
              <w:rPr>
                <w:rFonts w:eastAsiaTheme="minorEastAsia"/>
              </w:rPr>
              <w:t>cm</w:t>
            </w:r>
            <w:r>
              <w:rPr>
                <w:rFonts w:eastAsiaTheme="minorEastAsia"/>
              </w:rPr>
              <w:t>.</w:t>
            </w:r>
          </w:p>
        </w:tc>
      </w:tr>
      <w:tr w:rsidR="008D5691" w:rsidTr="008D5691">
        <w:trPr>
          <w:trHeight w:val="1417"/>
        </w:trPr>
        <w:tc>
          <w:tcPr>
            <w:tcW w:w="4309" w:type="dxa"/>
          </w:tcPr>
          <w:p w:rsidR="004D6C59" w:rsidRDefault="004D6C59" w:rsidP="008D5691">
            <w:pPr>
              <w:jc w:val="center"/>
            </w:pPr>
            <w:r>
              <w:rPr>
                <w:noProof/>
                <w:lang w:val="en-US"/>
              </w:rPr>
              <w:drawing>
                <wp:inline distT="0" distB="0" distL="0" distR="0" wp14:anchorId="694E28BA" wp14:editId="767D5989">
                  <wp:extent cx="2473200" cy="7056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 a scale - exception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3200" cy="705600"/>
                          </a:xfrm>
                          <a:prstGeom prst="rect">
                            <a:avLst/>
                          </a:prstGeom>
                        </pic:spPr>
                      </pic:pic>
                    </a:graphicData>
                  </a:graphic>
                </wp:inline>
              </w:drawing>
            </w:r>
          </w:p>
        </w:tc>
        <w:tc>
          <w:tcPr>
            <w:tcW w:w="5159" w:type="dxa"/>
          </w:tcPr>
          <w:p w:rsidR="00FB6908" w:rsidRPr="00FB6908" w:rsidRDefault="004D6C59" w:rsidP="008D5691">
            <w:pPr>
              <w:jc w:val="left"/>
              <w:rPr>
                <w:rFonts w:eastAsiaTheme="minorEastAsia"/>
              </w:rPr>
            </w:pPr>
            <w:r w:rsidRPr="008D5691">
              <w:rPr>
                <w:b/>
              </w:rPr>
              <w:t>The first exception:</w:t>
            </w:r>
            <w:r>
              <w:t xml:space="preserve"> the closest mark to the arrow is at 4.4 cm but the spacing between marks is very small. It is hard to tell exact position is between 4.3 cm en 4.4 cm or between 4.4 cm and 4.5 cm. </w:t>
            </w:r>
            <w:r w:rsidR="00FB6908">
              <w:t xml:space="preserve">The final reading is then </w:t>
            </w:r>
            <m:oMath>
              <m:r>
                <w:rPr>
                  <w:rFonts w:ascii="Cambria Math" w:hAnsi="Cambria Math"/>
                </w:rPr>
                <m:t>(4.4±0.1)</m:t>
              </m:r>
            </m:oMath>
            <w:r w:rsidR="00FB6908" w:rsidRPr="00445332">
              <w:rPr>
                <w:rFonts w:eastAsiaTheme="minorEastAsia"/>
              </w:rPr>
              <w:t>cm</w:t>
            </w:r>
            <w:r w:rsidR="00FB6908">
              <w:rPr>
                <w:rFonts w:eastAsiaTheme="minorEastAsia"/>
              </w:rPr>
              <w:t>.</w:t>
            </w:r>
          </w:p>
        </w:tc>
      </w:tr>
      <w:tr w:rsidR="008D5691" w:rsidTr="008D5691">
        <w:trPr>
          <w:trHeight w:val="1417"/>
        </w:trPr>
        <w:tc>
          <w:tcPr>
            <w:tcW w:w="4309" w:type="dxa"/>
          </w:tcPr>
          <w:p w:rsidR="004D6C59" w:rsidRDefault="004D6C59" w:rsidP="008D5691">
            <w:pPr>
              <w:jc w:val="center"/>
            </w:pPr>
            <w:r>
              <w:rPr>
                <w:noProof/>
                <w:lang w:val="en-US"/>
              </w:rPr>
              <w:drawing>
                <wp:inline distT="0" distB="0" distL="0" distR="0" wp14:anchorId="41E0C12C" wp14:editId="665F9E1B">
                  <wp:extent cx="2473200" cy="7056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 a scale - exception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3200" cy="705600"/>
                          </a:xfrm>
                          <a:prstGeom prst="rect">
                            <a:avLst/>
                          </a:prstGeom>
                        </pic:spPr>
                      </pic:pic>
                    </a:graphicData>
                  </a:graphic>
                </wp:inline>
              </w:drawing>
            </w:r>
          </w:p>
        </w:tc>
        <w:tc>
          <w:tcPr>
            <w:tcW w:w="5159" w:type="dxa"/>
          </w:tcPr>
          <w:p w:rsidR="00FB6908" w:rsidRPr="00FB6908" w:rsidRDefault="00FB6908" w:rsidP="008D5691">
            <w:pPr>
              <w:jc w:val="left"/>
              <w:rPr>
                <w:rFonts w:eastAsiaTheme="minorEastAsia"/>
              </w:rPr>
            </w:pPr>
            <w:r w:rsidRPr="008D5691">
              <w:rPr>
                <w:b/>
              </w:rPr>
              <w:t>The second exception:</w:t>
            </w:r>
            <w:r>
              <w:t xml:space="preserve"> </w:t>
            </w:r>
            <w:r w:rsidRPr="00445332">
              <w:t>it would no</w:t>
            </w:r>
            <w:r>
              <w:t>t</w:t>
            </w:r>
            <w:r w:rsidRPr="00445332">
              <w:t xml:space="preserve"> be reasonable to locate the </w:t>
            </w:r>
            <w:r>
              <w:t>arrow at</w:t>
            </w:r>
            <w:r w:rsidRPr="00445332">
              <w:t xml:space="preserve"> </w:t>
            </w:r>
            <m:oMath>
              <m:r>
                <w:rPr>
                  <w:rFonts w:ascii="Cambria Math" w:hAnsi="Cambria Math"/>
                </w:rPr>
                <m:t>(4.0±0.5)</m:t>
              </m:r>
            </m:oMath>
            <w:r w:rsidRPr="00445332">
              <w:rPr>
                <w:rFonts w:eastAsiaTheme="minorEastAsia"/>
              </w:rPr>
              <w:t xml:space="preserve">cm </w:t>
            </w:r>
            <w:r>
              <w:rPr>
                <w:rFonts w:eastAsiaTheme="minorEastAsia"/>
              </w:rPr>
              <w:t>as suggested by the general rule</w:t>
            </w:r>
            <w:r w:rsidRPr="00445332">
              <w:rPr>
                <w:rFonts w:eastAsiaTheme="minorEastAsia"/>
              </w:rPr>
              <w:t xml:space="preserve">. </w:t>
            </w:r>
            <w:r>
              <w:rPr>
                <w:rFonts w:eastAsiaTheme="minorEastAsia"/>
              </w:rPr>
              <w:t xml:space="preserve">In such case, it would be acceptable to estimate that the arrow is located at </w:t>
            </w:r>
            <m:oMath>
              <m:r>
                <w:rPr>
                  <w:rFonts w:ascii="Cambria Math" w:hAnsi="Cambria Math"/>
                </w:rPr>
                <m:t>(3.7±0.2)</m:t>
              </m:r>
            </m:oMath>
            <w:r w:rsidRPr="00445332">
              <w:rPr>
                <w:rFonts w:eastAsiaTheme="minorEastAsia"/>
              </w:rPr>
              <w:t xml:space="preserve">cm </w:t>
            </w:r>
            <w:r>
              <w:rPr>
                <w:rFonts w:eastAsiaTheme="minorEastAsia"/>
              </w:rPr>
              <w:t>even if the smallest division is</w:t>
            </w:r>
            <w:r w:rsidRPr="00445332">
              <w:rPr>
                <w:rFonts w:eastAsiaTheme="minorEastAsia"/>
              </w:rPr>
              <w:t xml:space="preserve"> 1 cm</w:t>
            </w:r>
            <w:r>
              <w:rPr>
                <w:rFonts w:eastAsiaTheme="minorEastAsia"/>
              </w:rPr>
              <w:t xml:space="preserve"> wide</w:t>
            </w:r>
            <w:r w:rsidRPr="00445332">
              <w:rPr>
                <w:rFonts w:eastAsiaTheme="minorEastAsia"/>
              </w:rPr>
              <w:t>.</w:t>
            </w:r>
          </w:p>
        </w:tc>
      </w:tr>
    </w:tbl>
    <w:p w:rsidR="004D6C59" w:rsidRPr="004D6C59" w:rsidRDefault="004D6C59" w:rsidP="004D6C59"/>
    <w:p w:rsidR="007572F0" w:rsidRDefault="00A11272" w:rsidP="00526597">
      <w:pPr>
        <w:pStyle w:val="Heading2"/>
      </w:pPr>
      <w:r w:rsidRPr="00526597">
        <w:t>Length</w:t>
      </w:r>
      <w:r>
        <w:t xml:space="preserve"> measurements</w:t>
      </w:r>
    </w:p>
    <w:p w:rsidR="00357516" w:rsidRPr="00357516" w:rsidRDefault="00357516" w:rsidP="00357516">
      <w:r w:rsidRPr="00357516">
        <w:t>In the elementary laboratory the length to be measured may be any distance between a small fraction of a millimeter and several meters. It is neither convenient, nor generally possible to use the same kind of instrument for the whole of this range.</w:t>
      </w:r>
    </w:p>
    <w:p w:rsidR="00A11272" w:rsidRDefault="00A11272" w:rsidP="00526597">
      <w:pPr>
        <w:pStyle w:val="Heading3"/>
      </w:pPr>
      <w:r>
        <w:t>Meter stick</w:t>
      </w:r>
      <w:r w:rsidR="00357516">
        <w:t xml:space="preserve"> </w:t>
      </w:r>
      <w:r w:rsidR="00AB1EEF">
        <w:t>or ruler</w:t>
      </w:r>
    </w:p>
    <w:p w:rsidR="00357516" w:rsidRDefault="00357516" w:rsidP="00357516">
      <w:pPr>
        <w:rPr>
          <w:lang w:val="en-GB"/>
        </w:rPr>
      </w:pPr>
      <w:r w:rsidRPr="00357516">
        <w:rPr>
          <w:lang w:val="en-GB"/>
        </w:rPr>
        <w:t xml:space="preserve">For </w:t>
      </w:r>
      <w:r>
        <w:rPr>
          <w:lang w:val="en-GB"/>
        </w:rPr>
        <w:t>distances greater than about 10</w:t>
      </w:r>
      <w:r w:rsidRPr="00357516">
        <w:rPr>
          <w:lang w:val="en-GB"/>
        </w:rPr>
        <w:t>cm a meter stick</w:t>
      </w:r>
      <w:r w:rsidR="00AB1EEF">
        <w:rPr>
          <w:lang w:val="en-GB"/>
        </w:rPr>
        <w:t xml:space="preserve"> or a ruler</w:t>
      </w:r>
      <w:r>
        <w:rPr>
          <w:lang w:val="en-GB"/>
        </w:rPr>
        <w:t xml:space="preserve"> </w:t>
      </w:r>
      <w:r w:rsidRPr="00357516">
        <w:rPr>
          <w:lang w:val="en-GB"/>
        </w:rPr>
        <w:t xml:space="preserve">is useful. The meter stick is divided into 1000 parts. These millimetre divisions are reliable to within </w:t>
      </w:r>
      <m:oMath>
        <m:r>
          <w:rPr>
            <w:rFonts w:ascii="Cambria Math" w:hAnsi="Cambria Math"/>
            <w:lang w:val="en-GB"/>
          </w:rPr>
          <m:t>±</m:t>
        </m:r>
      </m:oMath>
      <w:r w:rsidR="00284686">
        <w:rPr>
          <w:rFonts w:eastAsiaTheme="minorEastAsia"/>
          <w:lang w:val="en-GB"/>
        </w:rPr>
        <w:t>0.5</w:t>
      </w:r>
      <w:r w:rsidRPr="00357516">
        <w:rPr>
          <w:lang w:val="en-GB"/>
        </w:rPr>
        <w:t xml:space="preserve">mm </w:t>
      </w:r>
      <w:r w:rsidR="00BA55C6">
        <w:rPr>
          <w:lang w:val="en-GB"/>
        </w:rPr>
        <w:t xml:space="preserve">(half of the smallest division) </w:t>
      </w:r>
      <w:r w:rsidR="00CE4438">
        <w:rPr>
          <w:lang w:val="en-GB"/>
        </w:rPr>
        <w:t xml:space="preserve">for each reading </w:t>
      </w:r>
      <w:r w:rsidRPr="00357516">
        <w:rPr>
          <w:lang w:val="en-GB"/>
        </w:rPr>
        <w:t xml:space="preserve">if care is </w:t>
      </w:r>
      <w:r w:rsidR="00CE4438">
        <w:rPr>
          <w:lang w:val="en-GB"/>
        </w:rPr>
        <w:t>taken to avoid parallax errors</w:t>
      </w:r>
      <w:r w:rsidR="00BA55C6">
        <w:rPr>
          <w:lang w:val="en-GB"/>
        </w:rPr>
        <w:t>.</w:t>
      </w:r>
      <w:r w:rsidR="00CE4438">
        <w:rPr>
          <w:lang w:val="en-GB"/>
        </w:rPr>
        <w:t xml:space="preserve"> When measuring the length of an object, the positions of both ends of the object have to be identified on the meter scale and the error on the length measurement becomes</w:t>
      </w:r>
      <w:r w:rsidR="00697082">
        <w:rPr>
          <w:lang w:val="en-GB"/>
        </w:rPr>
        <w:t xml:space="preserve"> </w:t>
      </w:r>
      <m:oMath>
        <m:r>
          <w:rPr>
            <w:rFonts w:ascii="Cambria Math" w:hAnsi="Cambria Math"/>
            <w:lang w:val="en-GB"/>
          </w:rPr>
          <m:t>±</m:t>
        </m:r>
      </m:oMath>
      <w:r w:rsidR="00FA1AC3">
        <w:rPr>
          <w:rFonts w:eastAsiaTheme="minorEastAsia"/>
          <w:lang w:val="en-GB"/>
        </w:rPr>
        <w:t>0.</w:t>
      </w:r>
      <w:bookmarkStart w:id="3" w:name="_GoBack"/>
      <w:bookmarkEnd w:id="3"/>
      <w:r w:rsidR="00FA1AC3">
        <w:rPr>
          <w:rFonts w:eastAsiaTheme="minorEastAsia"/>
          <w:lang w:val="en-GB"/>
        </w:rPr>
        <w:t>7</w:t>
      </w:r>
      <w:r w:rsidR="00CE4438" w:rsidRPr="00357516">
        <w:rPr>
          <w:lang w:val="en-GB"/>
        </w:rPr>
        <w:t>mm</w:t>
      </w:r>
      <w:r w:rsidR="00FA1AC3">
        <w:rPr>
          <w:lang w:val="en-GB"/>
        </w:rPr>
        <w:t xml:space="preserve"> (using the propagation of errors)</w:t>
      </w:r>
      <w:r w:rsidR="00CE4438">
        <w:rPr>
          <w:lang w:val="en-GB"/>
        </w:rPr>
        <w:t xml:space="preserve">.    </w:t>
      </w:r>
    </w:p>
    <w:p w:rsidR="008809B7" w:rsidRDefault="008809B7" w:rsidP="00357516">
      <w:pPr>
        <w:rPr>
          <w:lang w:val="en-GB"/>
        </w:rPr>
      </w:pPr>
    </w:p>
    <w:p w:rsidR="002A46E2" w:rsidRDefault="007C01B3" w:rsidP="00357516">
      <w:pPr>
        <w:rPr>
          <w:lang w:val="en-GB"/>
        </w:rPr>
      </w:pPr>
      <w:r w:rsidRPr="007C01B3">
        <w:rPr>
          <w:rStyle w:val="CrossRefChar"/>
        </w:rPr>
        <w:fldChar w:fldCharType="begin"/>
      </w:r>
      <w:r w:rsidRPr="007C01B3">
        <w:rPr>
          <w:rStyle w:val="CrossRefChar"/>
        </w:rPr>
        <w:instrText xml:space="preserve"> REF _Ref359501648 \h </w:instrText>
      </w:r>
      <w:r>
        <w:rPr>
          <w:rStyle w:val="CrossRefChar"/>
        </w:rPr>
        <w:instrText xml:space="preserve"> \* MERGEFORMAT </w:instrText>
      </w:r>
      <w:r w:rsidRPr="007C01B3">
        <w:rPr>
          <w:rStyle w:val="CrossRefChar"/>
        </w:rPr>
      </w:r>
      <w:r w:rsidRPr="007C01B3">
        <w:rPr>
          <w:rStyle w:val="CrossRefChar"/>
        </w:rPr>
        <w:fldChar w:fldCharType="separate"/>
      </w:r>
      <w:r w:rsidR="006A5CDC" w:rsidRPr="006A5CDC">
        <w:rPr>
          <w:rStyle w:val="CrossRefChar"/>
        </w:rPr>
        <w:t>Figure 1</w:t>
      </w:r>
      <w:r w:rsidRPr="007C01B3">
        <w:rPr>
          <w:rStyle w:val="CrossRefChar"/>
        </w:rPr>
        <w:fldChar w:fldCharType="end"/>
      </w:r>
      <w:r>
        <w:rPr>
          <w:lang w:val="en-GB"/>
        </w:rPr>
        <w:t xml:space="preserve"> below </w:t>
      </w:r>
      <w:r w:rsidR="008809B7">
        <w:rPr>
          <w:lang w:val="en-GB"/>
        </w:rPr>
        <w:t xml:space="preserve">presents an example of an object measured using a ruler. The ends of the object are located at </w:t>
      </w:r>
      <w:r w:rsidR="0024525C">
        <w:t>0.</w:t>
      </w:r>
      <w:r w:rsidR="00284686">
        <w:t>2</w:t>
      </w:r>
      <w:r w:rsidR="0024525C">
        <w:t>0</w:t>
      </w:r>
      <w:r w:rsidR="008809B7">
        <w:rPr>
          <w:lang w:val="en-GB"/>
        </w:rPr>
        <w:t xml:space="preserve">cm and </w:t>
      </w:r>
      <w:r w:rsidR="00284686">
        <w:rPr>
          <w:lang w:val="en-GB"/>
        </w:rPr>
        <w:t>4.10</w:t>
      </w:r>
      <w:r w:rsidR="008809B7">
        <w:rPr>
          <w:lang w:val="en-GB"/>
        </w:rPr>
        <w:t xml:space="preserve">cm with a </w:t>
      </w:r>
      <m:oMath>
        <m:r>
          <w:rPr>
            <w:rFonts w:ascii="Cambria Math" w:hAnsi="Cambria Math"/>
            <w:lang w:val="en-GB"/>
          </w:rPr>
          <m:t>±</m:t>
        </m:r>
      </m:oMath>
      <w:r w:rsidR="00284686">
        <w:rPr>
          <w:rFonts w:eastAsiaTheme="minorEastAsia"/>
          <w:lang w:val="en-GB"/>
        </w:rPr>
        <w:t>0.05</w:t>
      </w:r>
      <w:r w:rsidR="008809B7">
        <w:rPr>
          <w:lang w:val="en-GB"/>
        </w:rPr>
        <w:t>c</w:t>
      </w:r>
      <w:r w:rsidR="008809B7" w:rsidRPr="00357516">
        <w:rPr>
          <w:lang w:val="en-GB"/>
        </w:rPr>
        <w:t>m</w:t>
      </w:r>
      <w:r w:rsidR="008809B7">
        <w:rPr>
          <w:lang w:val="en-GB"/>
        </w:rPr>
        <w:t xml:space="preserve"> precision while the total length of the object is given by</w:t>
      </w:r>
      <w:r w:rsidR="002A46E2">
        <w:rPr>
          <w:lang w:val="en-GB"/>
        </w:rPr>
        <w:t xml:space="preserve"> </w:t>
      </w:r>
    </w:p>
    <w:p w:rsidR="008809B7" w:rsidRPr="002A46E2" w:rsidRDefault="007C01B3" w:rsidP="00357516">
      <w:pPr>
        <w:rPr>
          <w:lang w:val="en-GB"/>
        </w:rPr>
      </w:pPr>
      <m:oMath>
        <m:r>
          <w:rPr>
            <w:rFonts w:ascii="Cambria Math" w:hAnsi="Cambria Math"/>
            <w:lang w:val="en-GB"/>
          </w:rPr>
          <m:t>L=(4.10±0.05)</m:t>
        </m:r>
      </m:oMath>
      <w:r w:rsidR="008809B7">
        <w:rPr>
          <w:rFonts w:eastAsiaTheme="minorEastAsia"/>
          <w:lang w:val="en-GB"/>
        </w:rPr>
        <w:t>cm</w:t>
      </w:r>
      <m:oMath>
        <m:r>
          <w:rPr>
            <w:rFonts w:ascii="Cambria Math" w:eastAsiaTheme="minorEastAsia" w:hAnsi="Cambria Math"/>
            <w:lang w:val="en-GB"/>
          </w:rPr>
          <m:t xml:space="preserve"> - </m:t>
        </m:r>
        <m:r>
          <w:rPr>
            <w:rFonts w:ascii="Cambria Math" w:hAnsi="Cambria Math"/>
            <w:lang w:val="en-GB"/>
          </w:rPr>
          <m:t>(0.20±0.05)</m:t>
        </m:r>
      </m:oMath>
      <w:r w:rsidR="008809B7">
        <w:rPr>
          <w:rFonts w:eastAsiaTheme="minorEastAsia"/>
          <w:lang w:val="en-GB"/>
        </w:rPr>
        <w:t>cm</w:t>
      </w:r>
      <m:oMath>
        <m:r>
          <w:rPr>
            <w:rFonts w:ascii="Cambria Math" w:eastAsiaTheme="minorEastAsia" w:hAnsi="Cambria Math"/>
            <w:lang w:val="en-GB"/>
          </w:rPr>
          <m:t xml:space="preserve"> =</m:t>
        </m:r>
        <m:r>
          <w:rPr>
            <w:rFonts w:ascii="Cambria Math" w:hAnsi="Cambria Math"/>
            <w:lang w:val="en-GB"/>
          </w:rPr>
          <m:t>(3.90±0.07)</m:t>
        </m:r>
        <m:r>
          <m:rPr>
            <m:sty m:val="p"/>
          </m:rPr>
          <w:rPr>
            <w:rFonts w:ascii="Cambria Math" w:eastAsiaTheme="minorEastAsia" w:hAnsi="Cambria Math"/>
            <w:lang w:val="en-GB"/>
          </w:rPr>
          <m:t>cm</m:t>
        </m:r>
      </m:oMath>
      <w:r w:rsidR="008809B7">
        <w:rPr>
          <w:rFonts w:eastAsiaTheme="minorEastAsia"/>
          <w:lang w:val="en-GB"/>
        </w:rPr>
        <w:t xml:space="preserve">.  </w:t>
      </w:r>
    </w:p>
    <w:p w:rsidR="008809B7" w:rsidRDefault="008809B7" w:rsidP="00357516">
      <w:pPr>
        <w:rPr>
          <w:lang w:val="en-GB"/>
        </w:rPr>
      </w:pPr>
    </w:p>
    <w:p w:rsidR="008847AC" w:rsidRDefault="00697529" w:rsidP="008847AC">
      <w:pPr>
        <w:keepNext/>
        <w:jc w:val="center"/>
      </w:pPr>
      <w:r>
        <w:rPr>
          <w:noProof/>
          <w:lang w:val="en-US"/>
        </w:rPr>
        <w:drawing>
          <wp:inline distT="0" distB="0" distL="0" distR="0" wp14:anchorId="0096D33D" wp14:editId="35326CA7">
            <wp:extent cx="2887200" cy="7776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png"/>
                    <pic:cNvPicPr/>
                  </pic:nvPicPr>
                  <pic:blipFill>
                    <a:blip r:embed="rId11">
                      <a:extLst>
                        <a:ext uri="{28A0092B-C50C-407E-A947-70E740481C1C}">
                          <a14:useLocalDpi xmlns:a14="http://schemas.microsoft.com/office/drawing/2010/main" val="0"/>
                        </a:ext>
                      </a:extLst>
                    </a:blip>
                    <a:stretch>
                      <a:fillRect/>
                    </a:stretch>
                  </pic:blipFill>
                  <pic:spPr>
                    <a:xfrm>
                      <a:off x="0" y="0"/>
                      <a:ext cx="2887200" cy="777600"/>
                    </a:xfrm>
                    <a:prstGeom prst="rect">
                      <a:avLst/>
                    </a:prstGeom>
                  </pic:spPr>
                </pic:pic>
              </a:graphicData>
            </a:graphic>
          </wp:inline>
        </w:drawing>
      </w:r>
    </w:p>
    <w:p w:rsidR="008847AC" w:rsidRDefault="008847AC" w:rsidP="008847AC">
      <w:pPr>
        <w:keepNext/>
        <w:jc w:val="center"/>
      </w:pPr>
    </w:p>
    <w:p w:rsidR="00357516" w:rsidRDefault="008847AC" w:rsidP="008847AC">
      <w:pPr>
        <w:pStyle w:val="Caption"/>
        <w:rPr>
          <w:lang w:val="en-GB"/>
        </w:rPr>
      </w:pPr>
      <w:bookmarkStart w:id="4" w:name="_Ref359501648"/>
      <w:r>
        <w:t xml:space="preserve">Figure </w:t>
      </w:r>
      <w:fldSimple w:instr=" SEQ Figure \* ARABIC ">
        <w:r w:rsidR="006A5CDC">
          <w:rPr>
            <w:noProof/>
          </w:rPr>
          <w:t>1</w:t>
        </w:r>
      </w:fldSimple>
      <w:bookmarkEnd w:id="4"/>
      <w:r w:rsidR="00037E2A">
        <w:t xml:space="preserve"> – Example of length measurement using a ruler. </w:t>
      </w:r>
    </w:p>
    <w:p w:rsidR="00697529" w:rsidRPr="00357516" w:rsidRDefault="00697529" w:rsidP="008809B7">
      <w:pPr>
        <w:jc w:val="center"/>
        <w:rPr>
          <w:lang w:val="en-GB"/>
        </w:rPr>
      </w:pPr>
    </w:p>
    <w:p w:rsidR="00A11272" w:rsidRDefault="00A11272" w:rsidP="00526597">
      <w:pPr>
        <w:pStyle w:val="Heading3"/>
      </w:pPr>
      <w:r>
        <w:t>Vernier caliper</w:t>
      </w:r>
    </w:p>
    <w:p w:rsidR="00C04B49" w:rsidRDefault="00C04B49" w:rsidP="00C04B49">
      <w:pPr>
        <w:rPr>
          <w:lang w:val="en-GB"/>
        </w:rPr>
      </w:pPr>
      <w:r>
        <w:rPr>
          <w:lang w:val="en-GB"/>
        </w:rPr>
        <w:t>For distances between about 1cm and 10</w:t>
      </w:r>
      <w:r w:rsidRPr="00C04B49">
        <w:rPr>
          <w:lang w:val="en-GB"/>
        </w:rPr>
        <w:t>cm</w:t>
      </w:r>
      <w:r>
        <w:rPr>
          <w:lang w:val="en-GB"/>
        </w:rPr>
        <w:t>,</w:t>
      </w:r>
      <w:r w:rsidRPr="00C04B49">
        <w:rPr>
          <w:lang w:val="en-GB"/>
        </w:rPr>
        <w:t xml:space="preserve"> vernier calipers are used, (or some device with an attached vernier scale such as a traveling microscope). The vernier scale, as shown in</w:t>
      </w:r>
      <w:r w:rsidR="00045497">
        <w:rPr>
          <w:lang w:val="en-GB"/>
        </w:rPr>
        <w:t xml:space="preserve"> </w:t>
      </w:r>
      <w:r w:rsidR="006232AE" w:rsidRPr="006232AE">
        <w:rPr>
          <w:rStyle w:val="CrossRefChar"/>
          <w:highlight w:val="yellow"/>
        </w:rPr>
        <w:fldChar w:fldCharType="begin"/>
      </w:r>
      <w:r w:rsidR="006232AE" w:rsidRPr="006232AE">
        <w:rPr>
          <w:rStyle w:val="CrossRefChar"/>
        </w:rPr>
        <w:instrText xml:space="preserve"> REF _Ref359505315 \h </w:instrText>
      </w:r>
      <w:r w:rsidR="006232AE">
        <w:rPr>
          <w:rStyle w:val="CrossRefChar"/>
          <w:highlight w:val="yellow"/>
        </w:rPr>
        <w:instrText xml:space="preserve"> \* MERGEFORMAT </w:instrText>
      </w:r>
      <w:r w:rsidR="006232AE" w:rsidRPr="006232AE">
        <w:rPr>
          <w:rStyle w:val="CrossRefChar"/>
          <w:highlight w:val="yellow"/>
        </w:rPr>
      </w:r>
      <w:r w:rsidR="006232AE" w:rsidRPr="006232AE">
        <w:rPr>
          <w:rStyle w:val="CrossRefChar"/>
          <w:highlight w:val="yellow"/>
        </w:rPr>
        <w:fldChar w:fldCharType="separate"/>
      </w:r>
      <w:r w:rsidR="006A5CDC" w:rsidRPr="006A5CDC">
        <w:rPr>
          <w:rStyle w:val="CrossRefChar"/>
        </w:rPr>
        <w:t>Figure 2</w:t>
      </w:r>
      <w:r w:rsidR="006232AE" w:rsidRPr="006232AE">
        <w:rPr>
          <w:rStyle w:val="CrossRefChar"/>
          <w:highlight w:val="yellow"/>
        </w:rPr>
        <w:fldChar w:fldCharType="end"/>
      </w:r>
      <w:r w:rsidRPr="00C04B49">
        <w:rPr>
          <w:lang w:val="en-GB"/>
        </w:rPr>
        <w:t>, is an auxiliary scale which makes it possible to interpolate between the smallest divisions of the main scale, a process which cannot be performed with reliability by eye.</w:t>
      </w:r>
    </w:p>
    <w:p w:rsidR="00C04B49" w:rsidRDefault="00C04B49" w:rsidP="00C04B49">
      <w:pPr>
        <w:rPr>
          <w:lang w:val="en-GB"/>
        </w:rPr>
      </w:pPr>
    </w:p>
    <w:p w:rsidR="00C04B49" w:rsidRDefault="00C04B49" w:rsidP="00C04B49">
      <w:pPr>
        <w:rPr>
          <w:lang w:val="en-GB"/>
        </w:rPr>
      </w:pPr>
      <w:r w:rsidRPr="00C04B49">
        <w:rPr>
          <w:lang w:val="en-GB"/>
        </w:rPr>
        <w:t>The most common vernier scale has ten divisions in the same distance as nine divisions of the main scale. Each vernier division is therefore 0.9 of the main division. Vernier scales also exist with different ratios (</w:t>
      </w:r>
      <w:r w:rsidR="006232AE" w:rsidRPr="006232AE">
        <w:rPr>
          <w:rStyle w:val="CrossRefChar"/>
          <w:highlight w:val="yellow"/>
        </w:rPr>
        <w:fldChar w:fldCharType="begin"/>
      </w:r>
      <w:r w:rsidR="006232AE" w:rsidRPr="006232AE">
        <w:rPr>
          <w:rStyle w:val="CrossRefChar"/>
        </w:rPr>
        <w:instrText xml:space="preserve"> REF _Ref359505315 \h </w:instrText>
      </w:r>
      <w:r w:rsidR="006232AE">
        <w:rPr>
          <w:rStyle w:val="CrossRefChar"/>
          <w:highlight w:val="yellow"/>
        </w:rPr>
        <w:instrText xml:space="preserve"> \* MERGEFORMAT </w:instrText>
      </w:r>
      <w:r w:rsidR="006232AE" w:rsidRPr="006232AE">
        <w:rPr>
          <w:rStyle w:val="CrossRefChar"/>
          <w:highlight w:val="yellow"/>
        </w:rPr>
      </w:r>
      <w:r w:rsidR="006232AE" w:rsidRPr="006232AE">
        <w:rPr>
          <w:rStyle w:val="CrossRefChar"/>
          <w:highlight w:val="yellow"/>
        </w:rPr>
        <w:fldChar w:fldCharType="separate"/>
      </w:r>
      <w:r w:rsidR="006A5CDC" w:rsidRPr="006A5CDC">
        <w:rPr>
          <w:rStyle w:val="CrossRefChar"/>
        </w:rPr>
        <w:t>Figure 2</w:t>
      </w:r>
      <w:r w:rsidR="006232AE" w:rsidRPr="006232AE">
        <w:rPr>
          <w:rStyle w:val="CrossRefChar"/>
          <w:highlight w:val="yellow"/>
        </w:rPr>
        <w:fldChar w:fldCharType="end"/>
      </w:r>
      <w:r w:rsidR="00045497">
        <w:rPr>
          <w:lang w:val="en-GB"/>
        </w:rPr>
        <w:t>)</w:t>
      </w:r>
      <w:r w:rsidRPr="00C04B49">
        <w:rPr>
          <w:lang w:val="en-GB"/>
        </w:rPr>
        <w:t xml:space="preserve"> for example). The same sort of arguments will apply using twentieths instead of tenths.</w:t>
      </w:r>
    </w:p>
    <w:p w:rsidR="00161591" w:rsidRPr="00C04B49" w:rsidRDefault="00161591" w:rsidP="00C04B49">
      <w:pPr>
        <w:rPr>
          <w:lang w:val="en-GB"/>
        </w:rPr>
      </w:pPr>
    </w:p>
    <w:p w:rsidR="00C04B49" w:rsidRDefault="00C04B49" w:rsidP="00C04B49">
      <w:pPr>
        <w:rPr>
          <w:lang w:val="en-GB"/>
        </w:rPr>
      </w:pPr>
      <w:r w:rsidRPr="00C04B49">
        <w:rPr>
          <w:lang w:val="en-GB"/>
        </w:rPr>
        <w:t>If the vernier scale were moved to the right by 0.1 of a division</w:t>
      </w:r>
      <w:r w:rsidR="00161591">
        <w:rPr>
          <w:lang w:val="en-GB"/>
        </w:rPr>
        <w:t>, the 1</w:t>
      </w:r>
      <w:r w:rsidRPr="00C04B49">
        <w:rPr>
          <w:lang w:val="en-GB"/>
        </w:rPr>
        <w:t xml:space="preserve"> mark</w:t>
      </w:r>
      <w:r w:rsidR="00161591">
        <w:rPr>
          <w:lang w:val="en-GB"/>
        </w:rPr>
        <w:t xml:space="preserve"> on the vernier scale</w:t>
      </w:r>
      <w:r w:rsidRPr="00C04B49">
        <w:rPr>
          <w:lang w:val="en-GB"/>
        </w:rPr>
        <w:t xml:space="preserve"> would line up with the 1 </w:t>
      </w:r>
      <w:r w:rsidR="00161591">
        <w:rPr>
          <w:lang w:val="en-GB"/>
        </w:rPr>
        <w:t xml:space="preserve">mark </w:t>
      </w:r>
      <w:r w:rsidRPr="00C04B49">
        <w:rPr>
          <w:lang w:val="en-GB"/>
        </w:rPr>
        <w:t xml:space="preserve">on the main scale. In </w:t>
      </w:r>
      <w:r w:rsidR="006232AE" w:rsidRPr="006232AE">
        <w:rPr>
          <w:rStyle w:val="CrossRefChar"/>
          <w:highlight w:val="yellow"/>
        </w:rPr>
        <w:fldChar w:fldCharType="begin"/>
      </w:r>
      <w:r w:rsidR="006232AE" w:rsidRPr="006232AE">
        <w:rPr>
          <w:rStyle w:val="CrossRefChar"/>
        </w:rPr>
        <w:instrText xml:space="preserve"> REF _Ref359505315 \h </w:instrText>
      </w:r>
      <w:r w:rsidR="006232AE">
        <w:rPr>
          <w:rStyle w:val="CrossRefChar"/>
          <w:highlight w:val="yellow"/>
        </w:rPr>
        <w:instrText xml:space="preserve"> \* MERGEFORMAT </w:instrText>
      </w:r>
      <w:r w:rsidR="006232AE" w:rsidRPr="006232AE">
        <w:rPr>
          <w:rStyle w:val="CrossRefChar"/>
          <w:highlight w:val="yellow"/>
        </w:rPr>
      </w:r>
      <w:r w:rsidR="006232AE" w:rsidRPr="006232AE">
        <w:rPr>
          <w:rStyle w:val="CrossRefChar"/>
          <w:highlight w:val="yellow"/>
        </w:rPr>
        <w:fldChar w:fldCharType="separate"/>
      </w:r>
      <w:r w:rsidR="006A5CDC" w:rsidRPr="006A5CDC">
        <w:rPr>
          <w:rStyle w:val="CrossRefChar"/>
        </w:rPr>
        <w:t>Figure 2</w:t>
      </w:r>
      <w:r w:rsidR="006232AE" w:rsidRPr="006232AE">
        <w:rPr>
          <w:rStyle w:val="CrossRefChar"/>
          <w:highlight w:val="yellow"/>
        </w:rPr>
        <w:fldChar w:fldCharType="end"/>
      </w:r>
      <w:r w:rsidRPr="00C04B49">
        <w:rPr>
          <w:lang w:val="en-GB"/>
        </w:rPr>
        <w:t xml:space="preserve"> the vernier scale has been moved 7</w:t>
      </w:r>
      <w:r w:rsidR="00161591">
        <w:rPr>
          <w:lang w:val="en-GB"/>
        </w:rPr>
        <w:t xml:space="preserve"> </w:t>
      </w:r>
      <w:r w:rsidRPr="00C04B49">
        <w:rPr>
          <w:lang w:val="en-GB"/>
        </w:rPr>
        <w:t xml:space="preserve">whole divisions plus a fraction of </w:t>
      </w:r>
      <w:r w:rsidR="00161591">
        <w:rPr>
          <w:lang w:val="en-GB"/>
        </w:rPr>
        <w:t xml:space="preserve">a division. Since the 3.5 </w:t>
      </w:r>
      <w:r w:rsidRPr="00C04B49">
        <w:rPr>
          <w:lang w:val="en-GB"/>
        </w:rPr>
        <w:t>mark</w:t>
      </w:r>
      <w:r w:rsidR="00161591">
        <w:rPr>
          <w:lang w:val="en-GB"/>
        </w:rPr>
        <w:t xml:space="preserve"> on the vernier scale</w:t>
      </w:r>
      <w:r w:rsidRPr="00C04B49">
        <w:rPr>
          <w:lang w:val="en-GB"/>
        </w:rPr>
        <w:t xml:space="preserve"> lines up with a main scale mark </w:t>
      </w:r>
      <w:r w:rsidR="00161591">
        <w:rPr>
          <w:lang w:val="en-GB"/>
        </w:rPr>
        <w:t>above</w:t>
      </w:r>
      <w:r w:rsidRPr="00C04B49">
        <w:rPr>
          <w:lang w:val="en-GB"/>
        </w:rPr>
        <w:t xml:space="preserve"> it, this means that the total displacement is 7.35 divisions.</w:t>
      </w:r>
      <w:r w:rsidR="00161591">
        <w:rPr>
          <w:lang w:val="en-GB"/>
        </w:rPr>
        <w:t xml:space="preserve">  </w:t>
      </w:r>
    </w:p>
    <w:p w:rsidR="00C04B49" w:rsidRDefault="00C04B49" w:rsidP="00C04B49">
      <w:pPr>
        <w:rPr>
          <w:lang w:val="en-GB"/>
        </w:rPr>
      </w:pPr>
    </w:p>
    <w:p w:rsidR="00C04B49" w:rsidRDefault="00C04B49" w:rsidP="00C04B49">
      <w:pPr>
        <w:rPr>
          <w:lang w:val="en-GB"/>
        </w:rPr>
      </w:pPr>
      <w:r w:rsidRPr="00C04B49">
        <w:rPr>
          <w:lang w:val="en-GB"/>
        </w:rPr>
        <w:t>In using vernier calipers it is important to check for a possible zero correction. Make sure that the scale reads exactly zero when the jaws are closed, or apply the observed correction to every reading.</w:t>
      </w:r>
      <w:r w:rsidR="00161591">
        <w:rPr>
          <w:lang w:val="en-GB"/>
        </w:rPr>
        <w:t xml:space="preserve">  If a vernier caliper is properly zeroed, the error on the reading is the smallest division of the vernier scale (</w:t>
      </w:r>
      <m:oMath>
        <m:r>
          <w:rPr>
            <w:rFonts w:ascii="Cambria Math" w:hAnsi="Cambria Math"/>
            <w:lang w:val="en-GB"/>
          </w:rPr>
          <m:t>±</m:t>
        </m:r>
      </m:oMath>
      <w:r w:rsidR="00284686">
        <w:rPr>
          <w:rFonts w:eastAsiaTheme="minorEastAsia"/>
          <w:lang w:val="en-GB"/>
        </w:rPr>
        <w:t>0.05</w:t>
      </w:r>
      <w:r w:rsidR="00161591">
        <w:rPr>
          <w:lang w:val="en-GB"/>
        </w:rPr>
        <w:t xml:space="preserve">mm in the example of </w:t>
      </w:r>
      <w:r w:rsidR="006232AE" w:rsidRPr="006232AE">
        <w:rPr>
          <w:rStyle w:val="CrossRefChar"/>
          <w:highlight w:val="yellow"/>
        </w:rPr>
        <w:fldChar w:fldCharType="begin"/>
      </w:r>
      <w:r w:rsidR="006232AE" w:rsidRPr="006232AE">
        <w:rPr>
          <w:rStyle w:val="CrossRefChar"/>
        </w:rPr>
        <w:instrText xml:space="preserve"> REF _Ref359505315 \h </w:instrText>
      </w:r>
      <w:r w:rsidR="006232AE">
        <w:rPr>
          <w:rStyle w:val="CrossRefChar"/>
          <w:highlight w:val="yellow"/>
        </w:rPr>
        <w:instrText xml:space="preserve"> \* MERGEFORMAT </w:instrText>
      </w:r>
      <w:r w:rsidR="006232AE" w:rsidRPr="006232AE">
        <w:rPr>
          <w:rStyle w:val="CrossRefChar"/>
          <w:highlight w:val="yellow"/>
        </w:rPr>
      </w:r>
      <w:r w:rsidR="006232AE" w:rsidRPr="006232AE">
        <w:rPr>
          <w:rStyle w:val="CrossRefChar"/>
          <w:highlight w:val="yellow"/>
        </w:rPr>
        <w:fldChar w:fldCharType="separate"/>
      </w:r>
      <w:r w:rsidR="006A5CDC" w:rsidRPr="006A5CDC">
        <w:rPr>
          <w:rStyle w:val="CrossRefChar"/>
        </w:rPr>
        <w:t>Figure 2</w:t>
      </w:r>
      <w:r w:rsidR="006232AE" w:rsidRPr="006232AE">
        <w:rPr>
          <w:rStyle w:val="CrossRefChar"/>
          <w:highlight w:val="yellow"/>
        </w:rPr>
        <w:fldChar w:fldCharType="end"/>
      </w:r>
      <w:r w:rsidR="00161591">
        <w:rPr>
          <w:lang w:val="en-GB"/>
        </w:rPr>
        <w:t>).</w:t>
      </w:r>
    </w:p>
    <w:p w:rsidR="00C04B49" w:rsidRDefault="00C04B49" w:rsidP="00C04B49">
      <w:pPr>
        <w:rPr>
          <w:lang w:val="en-GB"/>
        </w:rPr>
      </w:pPr>
    </w:p>
    <w:p w:rsidR="00C20515" w:rsidRDefault="00BA55C6" w:rsidP="00C20515">
      <w:pPr>
        <w:keepNext/>
        <w:jc w:val="center"/>
      </w:pPr>
      <w:r>
        <w:rPr>
          <w:noProof/>
          <w:lang w:val="en-US"/>
        </w:rPr>
        <w:drawing>
          <wp:inline distT="0" distB="0" distL="0" distR="0">
            <wp:extent cx="4791600" cy="4071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ni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1600" cy="4071600"/>
                    </a:xfrm>
                    <a:prstGeom prst="rect">
                      <a:avLst/>
                    </a:prstGeom>
                  </pic:spPr>
                </pic:pic>
              </a:graphicData>
            </a:graphic>
          </wp:inline>
        </w:drawing>
      </w:r>
    </w:p>
    <w:p w:rsidR="00C20515" w:rsidRDefault="00C20515" w:rsidP="00C20515">
      <w:pPr>
        <w:keepNext/>
        <w:jc w:val="center"/>
      </w:pPr>
    </w:p>
    <w:p w:rsidR="00312451" w:rsidRDefault="00C20515" w:rsidP="00C20515">
      <w:pPr>
        <w:pStyle w:val="Caption"/>
        <w:rPr>
          <w:lang w:val="en-GB"/>
        </w:rPr>
      </w:pPr>
      <w:bookmarkStart w:id="5" w:name="_Ref359505315"/>
      <w:r>
        <w:t xml:space="preserve">Figure </w:t>
      </w:r>
      <w:fldSimple w:instr=" SEQ Figure \* ARABIC ">
        <w:r w:rsidR="006A5CDC">
          <w:rPr>
            <w:noProof/>
          </w:rPr>
          <w:t>2</w:t>
        </w:r>
      </w:fldSimple>
      <w:bookmarkEnd w:id="5"/>
      <w:r>
        <w:t xml:space="preserve"> - A</w:t>
      </w:r>
      <w:r w:rsidRPr="00645A5C">
        <w:t xml:space="preserve"> </w:t>
      </w:r>
      <w:r>
        <w:t xml:space="preserve">vernier caliper with </w:t>
      </w:r>
      <w:r w:rsidRPr="00645A5C">
        <w:t>20 divisions in the same distance as 39 divisions of the main scale</w:t>
      </w:r>
      <w:r>
        <w:t>.</w:t>
      </w:r>
    </w:p>
    <w:p w:rsidR="00312451" w:rsidRPr="00C04B49" w:rsidRDefault="00312451" w:rsidP="00312451">
      <w:pPr>
        <w:jc w:val="center"/>
        <w:rPr>
          <w:lang w:val="en-GB"/>
        </w:rPr>
      </w:pPr>
    </w:p>
    <w:p w:rsidR="00A11272" w:rsidRDefault="00A11272" w:rsidP="00526597">
      <w:pPr>
        <w:pStyle w:val="Heading3"/>
      </w:pPr>
      <w:r>
        <w:t>Micrometer</w:t>
      </w:r>
    </w:p>
    <w:p w:rsidR="00CD2994" w:rsidRDefault="00CD2994" w:rsidP="00CD2994">
      <w:pPr>
        <w:rPr>
          <w:lang w:val="en-GB"/>
        </w:rPr>
      </w:pPr>
      <w:r w:rsidRPr="00CD2994">
        <w:rPr>
          <w:lang w:val="en-GB"/>
        </w:rPr>
        <w:t>A micrometer is useful for measuring the dimensions of any object small enough to f</w:t>
      </w:r>
      <w:r>
        <w:rPr>
          <w:lang w:val="en-GB"/>
        </w:rPr>
        <w:t>it between its jaws, usually 25</w:t>
      </w:r>
      <w:r w:rsidRPr="00CD2994">
        <w:rPr>
          <w:lang w:val="en-GB"/>
        </w:rPr>
        <w:t xml:space="preserve">mm at most. While the vernier calipers give measurements to </w:t>
      </w:r>
      <m:oMath>
        <m:r>
          <w:rPr>
            <w:rFonts w:ascii="Cambria Math" w:hAnsi="Cambria Math"/>
            <w:lang w:val="en-GB"/>
          </w:rPr>
          <m:t>±</m:t>
        </m:r>
      </m:oMath>
      <w:r w:rsidR="00284686">
        <w:rPr>
          <w:rFonts w:eastAsiaTheme="minorEastAsia"/>
          <w:lang w:val="en-GB"/>
        </w:rPr>
        <w:t>0.05</w:t>
      </w:r>
      <w:r>
        <w:rPr>
          <w:lang w:val="en-GB"/>
        </w:rPr>
        <w:t xml:space="preserve">mm </w:t>
      </w:r>
      <w:r w:rsidRPr="00CD2994">
        <w:rPr>
          <w:lang w:val="en-GB"/>
        </w:rPr>
        <w:t xml:space="preserve">in general, the micrometer can be read to </w:t>
      </w:r>
      <m:oMath>
        <m:r>
          <w:rPr>
            <w:rFonts w:ascii="Cambria Math" w:hAnsi="Cambria Math"/>
            <w:lang w:val="en-GB"/>
          </w:rPr>
          <m:t>±</m:t>
        </m:r>
      </m:oMath>
      <w:r w:rsidR="00284686">
        <w:rPr>
          <w:rFonts w:eastAsiaTheme="minorEastAsia"/>
          <w:lang w:val="en-GB"/>
        </w:rPr>
        <w:t>0.01</w:t>
      </w:r>
      <w:r>
        <w:rPr>
          <w:lang w:val="en-GB"/>
        </w:rPr>
        <w:t>mm</w:t>
      </w:r>
      <w:r w:rsidRPr="00CD2994">
        <w:rPr>
          <w:lang w:val="en-GB"/>
        </w:rPr>
        <w:t>.</w:t>
      </w:r>
    </w:p>
    <w:p w:rsidR="00CD2994" w:rsidRPr="00CD2994" w:rsidRDefault="00CD2994" w:rsidP="00CD2994">
      <w:pPr>
        <w:rPr>
          <w:lang w:val="en-GB"/>
        </w:rPr>
      </w:pPr>
    </w:p>
    <w:p w:rsidR="00CD2994" w:rsidRDefault="00CD2994" w:rsidP="00CD2994">
      <w:pPr>
        <w:rPr>
          <w:lang w:val="en-GB"/>
        </w:rPr>
      </w:pPr>
      <w:r w:rsidRPr="00CD2994">
        <w:rPr>
          <w:lang w:val="en-GB"/>
        </w:rPr>
        <w:lastRenderedPageBreak/>
        <w:t>Two complete revolutions of the thimble are requ</w:t>
      </w:r>
      <w:r>
        <w:rPr>
          <w:lang w:val="en-GB"/>
        </w:rPr>
        <w:t>ired for a linear movement of 1</w:t>
      </w:r>
      <w:r w:rsidRPr="00CD2994">
        <w:rPr>
          <w:lang w:val="en-GB"/>
        </w:rPr>
        <w:t xml:space="preserve">mm (see </w:t>
      </w:r>
      <w:r w:rsidR="006232AE" w:rsidRPr="006232AE">
        <w:rPr>
          <w:rStyle w:val="CrossRefChar"/>
          <w:highlight w:val="yellow"/>
        </w:rPr>
        <w:fldChar w:fldCharType="begin"/>
      </w:r>
      <w:r w:rsidR="006232AE" w:rsidRPr="006232AE">
        <w:rPr>
          <w:rStyle w:val="CrossRefChar"/>
        </w:rPr>
        <w:instrText xml:space="preserve"> REF _Ref361735567 \h </w:instrText>
      </w:r>
      <w:r w:rsidR="006232AE">
        <w:rPr>
          <w:rStyle w:val="CrossRefChar"/>
          <w:highlight w:val="yellow"/>
        </w:rPr>
        <w:instrText xml:space="preserve"> \* MERGEFORMAT </w:instrText>
      </w:r>
      <w:r w:rsidR="006232AE" w:rsidRPr="006232AE">
        <w:rPr>
          <w:rStyle w:val="CrossRefChar"/>
          <w:highlight w:val="yellow"/>
        </w:rPr>
      </w:r>
      <w:r w:rsidR="006232AE" w:rsidRPr="006232AE">
        <w:rPr>
          <w:rStyle w:val="CrossRefChar"/>
          <w:highlight w:val="yellow"/>
        </w:rPr>
        <w:fldChar w:fldCharType="separate"/>
      </w:r>
      <w:r w:rsidR="006A5CDC" w:rsidRPr="006A5CDC">
        <w:rPr>
          <w:rStyle w:val="CrossRefChar"/>
        </w:rPr>
        <w:t>Figure 3</w:t>
      </w:r>
      <w:r w:rsidR="006232AE" w:rsidRPr="006232AE">
        <w:rPr>
          <w:rStyle w:val="CrossRefChar"/>
          <w:highlight w:val="yellow"/>
        </w:rPr>
        <w:fldChar w:fldCharType="end"/>
      </w:r>
      <w:r w:rsidRPr="00CD2994">
        <w:rPr>
          <w:lang w:val="en-GB"/>
        </w:rPr>
        <w:t>). Since the edge of the thimble is marked with 50 divisions e</w:t>
      </w:r>
      <w:r>
        <w:rPr>
          <w:lang w:val="en-GB"/>
        </w:rPr>
        <w:t>ach division corresponds to 0.01</w:t>
      </w:r>
      <w:r w:rsidRPr="00CD2994">
        <w:rPr>
          <w:lang w:val="en-GB"/>
        </w:rPr>
        <w:t>mm. The linear motion of the spindle, which is attached to the thimble, can be seen on</w:t>
      </w:r>
      <w:r>
        <w:rPr>
          <w:lang w:val="en-GB"/>
        </w:rPr>
        <w:t xml:space="preserve"> the scale 0 to 25mm marked on the sleeve in 0.5</w:t>
      </w:r>
      <w:r w:rsidRPr="00CD2994">
        <w:rPr>
          <w:lang w:val="en-GB"/>
        </w:rPr>
        <w:t>mm divisions. A ratchet is provided so that the micrometer will not be strained by being tightened too strongly against the object being measured. A zero reading should always be taken when using a micrometer and the appropriate correction noted and used to correct all measurements.</w:t>
      </w:r>
    </w:p>
    <w:p w:rsidR="004707A6" w:rsidRDefault="004707A6" w:rsidP="00CD2994">
      <w:pPr>
        <w:rPr>
          <w:lang w:val="en-GB"/>
        </w:rPr>
      </w:pPr>
    </w:p>
    <w:p w:rsidR="00A32ACD" w:rsidRDefault="004707A6" w:rsidP="00A32ACD">
      <w:pPr>
        <w:keepNext/>
        <w:jc w:val="center"/>
      </w:pPr>
      <w:r>
        <w:rPr>
          <w:noProof/>
          <w:lang w:val="en-US"/>
        </w:rPr>
        <w:drawing>
          <wp:inline distT="0" distB="0" distL="0" distR="0" wp14:anchorId="413C1661" wp14:editId="393365F3">
            <wp:extent cx="5310000" cy="1990800"/>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me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10000" cy="1990800"/>
                    </a:xfrm>
                    <a:prstGeom prst="rect">
                      <a:avLst/>
                    </a:prstGeom>
                  </pic:spPr>
                </pic:pic>
              </a:graphicData>
            </a:graphic>
          </wp:inline>
        </w:drawing>
      </w:r>
    </w:p>
    <w:p w:rsidR="00A32ACD" w:rsidRDefault="00A32ACD" w:rsidP="00A32ACD">
      <w:pPr>
        <w:keepNext/>
        <w:jc w:val="center"/>
      </w:pPr>
    </w:p>
    <w:p w:rsidR="00CD2994" w:rsidRDefault="00A32ACD" w:rsidP="00A32ACD">
      <w:pPr>
        <w:pStyle w:val="Caption"/>
      </w:pPr>
      <w:bookmarkStart w:id="6" w:name="_Ref361735567"/>
      <w:r>
        <w:t xml:space="preserve">Figure </w:t>
      </w:r>
      <w:fldSimple w:instr=" SEQ Figure \* ARABIC ">
        <w:r w:rsidR="006A5CDC">
          <w:rPr>
            <w:noProof/>
          </w:rPr>
          <w:t>3</w:t>
        </w:r>
      </w:fldSimple>
      <w:bookmarkEnd w:id="6"/>
      <w:r>
        <w:t xml:space="preserve"> - A micrometer.  T</w:t>
      </w:r>
      <w:r w:rsidRPr="00241DE7">
        <w:t>wo complete revolutions of the thimble are required for a linear movement of 1 mm</w:t>
      </w:r>
      <w:r>
        <w:t xml:space="preserve">. </w:t>
      </w:r>
    </w:p>
    <w:p w:rsidR="00A32ACD" w:rsidRPr="00A32ACD" w:rsidRDefault="00A32ACD" w:rsidP="00A32ACD">
      <w:pPr>
        <w:rPr>
          <w:lang w:val="en-GB"/>
        </w:rPr>
      </w:pPr>
    </w:p>
    <w:p w:rsidR="00A11272" w:rsidRPr="001C2B52" w:rsidRDefault="00A11272" w:rsidP="001C2B52">
      <w:pPr>
        <w:jc w:val="left"/>
        <w:rPr>
          <w:lang w:val="en-GB"/>
        </w:rPr>
      </w:pPr>
    </w:p>
    <w:sectPr w:rsidR="00A11272" w:rsidRPr="001C2B52" w:rsidSect="00B35265">
      <w:footerReference w:type="default" r:id="rId14"/>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46" w:rsidRDefault="00DF0A46" w:rsidP="00D04310">
      <w:r>
        <w:separator/>
      </w:r>
    </w:p>
  </w:endnote>
  <w:endnote w:type="continuationSeparator" w:id="0">
    <w:p w:rsidR="00DF0A46" w:rsidRDefault="00DF0A46"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DF0A46" w:rsidTr="00A610E2">
      <w:tc>
        <w:tcPr>
          <w:tcW w:w="4600" w:type="pct"/>
          <w:tcBorders>
            <w:top w:val="single" w:sz="4" w:space="0" w:color="auto"/>
            <w:right w:val="nil"/>
          </w:tcBorders>
        </w:tcPr>
        <w:p w:rsidR="00DF0A46" w:rsidRPr="004677E7" w:rsidRDefault="008E1EB9" w:rsidP="007649D1">
          <w:pPr>
            <w:pStyle w:val="Footer"/>
            <w:jc w:val="left"/>
          </w:pPr>
          <w:r>
            <w:fldChar w:fldCharType="begin"/>
          </w:r>
          <w:r>
            <w:instrText xml:space="preserve"> REF _Ref358967577 \h </w:instrText>
          </w:r>
          <w:r>
            <w:fldChar w:fldCharType="separate"/>
          </w:r>
          <w:r w:rsidR="006A5CDC">
            <w:t>Tutorial</w:t>
          </w:r>
          <w:r w:rsidR="006A5CDC" w:rsidRPr="00BE4329">
            <w:t xml:space="preserve"> </w:t>
          </w:r>
          <w:r w:rsidR="006A5CDC">
            <w:t>–</w:t>
          </w:r>
          <w:r w:rsidR="006A5CDC" w:rsidRPr="00BE4329">
            <w:t xml:space="preserve"> </w:t>
          </w:r>
          <w:r w:rsidR="006A5CDC">
            <w:t>Measuring techniques</w:t>
          </w:r>
          <w:r>
            <w:fldChar w:fldCharType="end"/>
          </w:r>
        </w:p>
      </w:tc>
      <w:tc>
        <w:tcPr>
          <w:tcW w:w="400" w:type="pct"/>
          <w:tcBorders>
            <w:top w:val="single" w:sz="4" w:space="0" w:color="auto"/>
            <w:left w:val="nil"/>
          </w:tcBorders>
        </w:tcPr>
        <w:p w:rsidR="00DF0A46" w:rsidRPr="00A610E2" w:rsidRDefault="00DF0A46"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6A5CDC" w:rsidRPr="006A5CDC">
            <w:rPr>
              <w:bCs/>
              <w:noProof/>
              <w:color w:val="auto"/>
            </w:rPr>
            <w:t>3</w:t>
          </w:r>
          <w:r w:rsidRPr="00A610E2">
            <w:rPr>
              <w:bCs/>
              <w:noProof/>
              <w:color w:val="auto"/>
            </w:rPr>
            <w:fldChar w:fldCharType="end"/>
          </w:r>
        </w:p>
      </w:tc>
    </w:tr>
  </w:tbl>
  <w:p w:rsidR="00DF0A46" w:rsidRDefault="00DF0A46"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46" w:rsidRDefault="00DF0A46" w:rsidP="00D04310">
      <w:r>
        <w:separator/>
      </w:r>
    </w:p>
  </w:footnote>
  <w:footnote w:type="continuationSeparator" w:id="0">
    <w:p w:rsidR="00DF0A46" w:rsidRDefault="00DF0A46"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4F427E"/>
    <w:multiLevelType w:val="hybridMultilevel"/>
    <w:tmpl w:val="5B181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3A46F1"/>
    <w:multiLevelType w:val="hybridMultilevel"/>
    <w:tmpl w:val="B980F638"/>
    <w:lvl w:ilvl="0" w:tplc="1009000F">
      <w:start w:val="1"/>
      <w:numFmt w:val="decimal"/>
      <w:lvlText w:val="%1."/>
      <w:lvlJc w:val="left"/>
      <w:pPr>
        <w:ind w:left="764" w:hanging="360"/>
      </w:pPr>
    </w:lvl>
    <w:lvl w:ilvl="1" w:tplc="10090019" w:tentative="1">
      <w:start w:val="1"/>
      <w:numFmt w:val="lowerLetter"/>
      <w:lvlText w:val="%2."/>
      <w:lvlJc w:val="left"/>
      <w:pPr>
        <w:ind w:left="1484" w:hanging="360"/>
      </w:pPr>
    </w:lvl>
    <w:lvl w:ilvl="2" w:tplc="1009001B" w:tentative="1">
      <w:start w:val="1"/>
      <w:numFmt w:val="lowerRoman"/>
      <w:lvlText w:val="%3."/>
      <w:lvlJc w:val="right"/>
      <w:pPr>
        <w:ind w:left="2204" w:hanging="180"/>
      </w:pPr>
    </w:lvl>
    <w:lvl w:ilvl="3" w:tplc="1009000F" w:tentative="1">
      <w:start w:val="1"/>
      <w:numFmt w:val="decimal"/>
      <w:lvlText w:val="%4."/>
      <w:lvlJc w:val="left"/>
      <w:pPr>
        <w:ind w:left="2924" w:hanging="360"/>
      </w:pPr>
    </w:lvl>
    <w:lvl w:ilvl="4" w:tplc="10090019" w:tentative="1">
      <w:start w:val="1"/>
      <w:numFmt w:val="lowerLetter"/>
      <w:lvlText w:val="%5."/>
      <w:lvlJc w:val="left"/>
      <w:pPr>
        <w:ind w:left="3644" w:hanging="360"/>
      </w:pPr>
    </w:lvl>
    <w:lvl w:ilvl="5" w:tplc="1009001B" w:tentative="1">
      <w:start w:val="1"/>
      <w:numFmt w:val="lowerRoman"/>
      <w:lvlText w:val="%6."/>
      <w:lvlJc w:val="right"/>
      <w:pPr>
        <w:ind w:left="4364" w:hanging="180"/>
      </w:pPr>
    </w:lvl>
    <w:lvl w:ilvl="6" w:tplc="1009000F" w:tentative="1">
      <w:start w:val="1"/>
      <w:numFmt w:val="decimal"/>
      <w:lvlText w:val="%7."/>
      <w:lvlJc w:val="left"/>
      <w:pPr>
        <w:ind w:left="5084" w:hanging="360"/>
      </w:pPr>
    </w:lvl>
    <w:lvl w:ilvl="7" w:tplc="10090019" w:tentative="1">
      <w:start w:val="1"/>
      <w:numFmt w:val="lowerLetter"/>
      <w:lvlText w:val="%8."/>
      <w:lvlJc w:val="left"/>
      <w:pPr>
        <w:ind w:left="5804" w:hanging="360"/>
      </w:pPr>
    </w:lvl>
    <w:lvl w:ilvl="8" w:tplc="1009001B" w:tentative="1">
      <w:start w:val="1"/>
      <w:numFmt w:val="lowerRoman"/>
      <w:lvlText w:val="%9."/>
      <w:lvlJc w:val="right"/>
      <w:pPr>
        <w:ind w:left="6524" w:hanging="180"/>
      </w:pPr>
    </w:lvl>
  </w:abstractNum>
  <w:abstractNum w:abstractNumId="16"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2383764"/>
    <w:multiLevelType w:val="hybridMultilevel"/>
    <w:tmpl w:val="6B88D522"/>
    <w:lvl w:ilvl="0" w:tplc="0E86AD56">
      <w:numFmt w:val="bullet"/>
      <w:lvlText w:val="•"/>
      <w:lvlJc w:val="left"/>
      <w:pPr>
        <w:ind w:left="720" w:hanging="360"/>
      </w:pPr>
      <w:rPr>
        <w:rFonts w:ascii="Calibri" w:eastAsiaTheme="minorHAnsi" w:hAnsi="Calibri" w:cs="Times New Roman (T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3B3919"/>
    <w:multiLevelType w:val="hybridMultilevel"/>
    <w:tmpl w:val="41860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6"/>
  </w:num>
  <w:num w:numId="7">
    <w:abstractNumId w:val="5"/>
  </w:num>
  <w:num w:numId="8">
    <w:abstractNumId w:val="17"/>
  </w:num>
  <w:num w:numId="9">
    <w:abstractNumId w:val="25"/>
  </w:num>
  <w:num w:numId="10">
    <w:abstractNumId w:val="22"/>
  </w:num>
  <w:num w:numId="11">
    <w:abstractNumId w:val="0"/>
  </w:num>
  <w:num w:numId="12">
    <w:abstractNumId w:val="3"/>
  </w:num>
  <w:num w:numId="13">
    <w:abstractNumId w:val="10"/>
  </w:num>
  <w:num w:numId="14">
    <w:abstractNumId w:val="16"/>
  </w:num>
  <w:num w:numId="15">
    <w:abstractNumId w:val="20"/>
  </w:num>
  <w:num w:numId="16">
    <w:abstractNumId w:val="24"/>
  </w:num>
  <w:num w:numId="17">
    <w:abstractNumId w:val="14"/>
  </w:num>
  <w:num w:numId="18">
    <w:abstractNumId w:val="7"/>
  </w:num>
  <w:num w:numId="19">
    <w:abstractNumId w:val="2"/>
  </w:num>
  <w:num w:numId="20">
    <w:abstractNumId w:val="21"/>
  </w:num>
  <w:num w:numId="21">
    <w:abstractNumId w:val="13"/>
  </w:num>
  <w:num w:numId="22">
    <w:abstractNumId w:val="18"/>
  </w:num>
  <w:num w:numId="23">
    <w:abstractNumId w:val="4"/>
  </w:num>
  <w:num w:numId="24">
    <w:abstractNumId w:val="23"/>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43D0"/>
    <w:rsid w:val="000160ED"/>
    <w:rsid w:val="0002699F"/>
    <w:rsid w:val="0003016D"/>
    <w:rsid w:val="00030592"/>
    <w:rsid w:val="00031D8F"/>
    <w:rsid w:val="00035867"/>
    <w:rsid w:val="00037E2A"/>
    <w:rsid w:val="00043246"/>
    <w:rsid w:val="00045497"/>
    <w:rsid w:val="0004637E"/>
    <w:rsid w:val="00053B41"/>
    <w:rsid w:val="00066774"/>
    <w:rsid w:val="00076985"/>
    <w:rsid w:val="00081343"/>
    <w:rsid w:val="00082F0B"/>
    <w:rsid w:val="00087D5B"/>
    <w:rsid w:val="0009587E"/>
    <w:rsid w:val="000978A1"/>
    <w:rsid w:val="000A1594"/>
    <w:rsid w:val="000A53F9"/>
    <w:rsid w:val="000B0E9A"/>
    <w:rsid w:val="000B3373"/>
    <w:rsid w:val="000C1C03"/>
    <w:rsid w:val="000C5F5E"/>
    <w:rsid w:val="000E55BE"/>
    <w:rsid w:val="000F0847"/>
    <w:rsid w:val="000F1D74"/>
    <w:rsid w:val="000F5901"/>
    <w:rsid w:val="000F6497"/>
    <w:rsid w:val="000F6ADF"/>
    <w:rsid w:val="000F7D4C"/>
    <w:rsid w:val="001148D5"/>
    <w:rsid w:val="00117D70"/>
    <w:rsid w:val="00130007"/>
    <w:rsid w:val="00131250"/>
    <w:rsid w:val="00131679"/>
    <w:rsid w:val="00133383"/>
    <w:rsid w:val="00134554"/>
    <w:rsid w:val="00156A57"/>
    <w:rsid w:val="00160105"/>
    <w:rsid w:val="0016024C"/>
    <w:rsid w:val="00161591"/>
    <w:rsid w:val="0016287D"/>
    <w:rsid w:val="00165E1F"/>
    <w:rsid w:val="00167BA7"/>
    <w:rsid w:val="00174962"/>
    <w:rsid w:val="001821B5"/>
    <w:rsid w:val="001A21B0"/>
    <w:rsid w:val="001A6E6F"/>
    <w:rsid w:val="001B5EC4"/>
    <w:rsid w:val="001C2B52"/>
    <w:rsid w:val="00210680"/>
    <w:rsid w:val="00217E54"/>
    <w:rsid w:val="00222807"/>
    <w:rsid w:val="002262AF"/>
    <w:rsid w:val="00236936"/>
    <w:rsid w:val="002371B8"/>
    <w:rsid w:val="00244E47"/>
    <w:rsid w:val="0024525C"/>
    <w:rsid w:val="00284686"/>
    <w:rsid w:val="002853C6"/>
    <w:rsid w:val="002903A6"/>
    <w:rsid w:val="0029709D"/>
    <w:rsid w:val="002A0537"/>
    <w:rsid w:val="002A413B"/>
    <w:rsid w:val="002A46E2"/>
    <w:rsid w:val="002A51BC"/>
    <w:rsid w:val="002B3D31"/>
    <w:rsid w:val="002B56BF"/>
    <w:rsid w:val="002B56F6"/>
    <w:rsid w:val="002C2B86"/>
    <w:rsid w:val="002C39FD"/>
    <w:rsid w:val="002D1DCA"/>
    <w:rsid w:val="002D3C8A"/>
    <w:rsid w:val="002D73A6"/>
    <w:rsid w:val="002E290A"/>
    <w:rsid w:val="002E3CE5"/>
    <w:rsid w:val="002E558A"/>
    <w:rsid w:val="002E5E27"/>
    <w:rsid w:val="002F1666"/>
    <w:rsid w:val="002F23E0"/>
    <w:rsid w:val="002F6683"/>
    <w:rsid w:val="00302795"/>
    <w:rsid w:val="0030300F"/>
    <w:rsid w:val="00306617"/>
    <w:rsid w:val="0031213E"/>
    <w:rsid w:val="003121A6"/>
    <w:rsid w:val="00312451"/>
    <w:rsid w:val="00314DA2"/>
    <w:rsid w:val="00317D38"/>
    <w:rsid w:val="00321AF5"/>
    <w:rsid w:val="003335E4"/>
    <w:rsid w:val="00336DED"/>
    <w:rsid w:val="00340B5C"/>
    <w:rsid w:val="00343D55"/>
    <w:rsid w:val="00346871"/>
    <w:rsid w:val="0035479B"/>
    <w:rsid w:val="00356D06"/>
    <w:rsid w:val="00357516"/>
    <w:rsid w:val="00361F92"/>
    <w:rsid w:val="00374BE6"/>
    <w:rsid w:val="003834B8"/>
    <w:rsid w:val="00384283"/>
    <w:rsid w:val="00387032"/>
    <w:rsid w:val="00391DAF"/>
    <w:rsid w:val="0039511B"/>
    <w:rsid w:val="00397DF2"/>
    <w:rsid w:val="003A19D8"/>
    <w:rsid w:val="003A286F"/>
    <w:rsid w:val="003A5FB1"/>
    <w:rsid w:val="003A70D2"/>
    <w:rsid w:val="003C15EF"/>
    <w:rsid w:val="003C3E64"/>
    <w:rsid w:val="003D0FBF"/>
    <w:rsid w:val="003D7ECA"/>
    <w:rsid w:val="003E23EB"/>
    <w:rsid w:val="004029FD"/>
    <w:rsid w:val="0040439E"/>
    <w:rsid w:val="00405D3C"/>
    <w:rsid w:val="004100AE"/>
    <w:rsid w:val="0041734D"/>
    <w:rsid w:val="0043712C"/>
    <w:rsid w:val="00445332"/>
    <w:rsid w:val="00463AB9"/>
    <w:rsid w:val="00464636"/>
    <w:rsid w:val="00465B5A"/>
    <w:rsid w:val="00465F79"/>
    <w:rsid w:val="004677E7"/>
    <w:rsid w:val="004707A6"/>
    <w:rsid w:val="00483904"/>
    <w:rsid w:val="00483D0B"/>
    <w:rsid w:val="00486C75"/>
    <w:rsid w:val="004936DA"/>
    <w:rsid w:val="00493BBA"/>
    <w:rsid w:val="004B2DA6"/>
    <w:rsid w:val="004C0673"/>
    <w:rsid w:val="004D6C59"/>
    <w:rsid w:val="004E633D"/>
    <w:rsid w:val="004F634C"/>
    <w:rsid w:val="004F7E5C"/>
    <w:rsid w:val="00507167"/>
    <w:rsid w:val="005167CE"/>
    <w:rsid w:val="0052422E"/>
    <w:rsid w:val="00526597"/>
    <w:rsid w:val="00536957"/>
    <w:rsid w:val="005413DE"/>
    <w:rsid w:val="00550682"/>
    <w:rsid w:val="00554189"/>
    <w:rsid w:val="00564650"/>
    <w:rsid w:val="00567637"/>
    <w:rsid w:val="00572269"/>
    <w:rsid w:val="0057442B"/>
    <w:rsid w:val="005749D9"/>
    <w:rsid w:val="00585FC3"/>
    <w:rsid w:val="00592093"/>
    <w:rsid w:val="00595404"/>
    <w:rsid w:val="00596045"/>
    <w:rsid w:val="005A128E"/>
    <w:rsid w:val="005B71E4"/>
    <w:rsid w:val="005C3BDB"/>
    <w:rsid w:val="005C54B4"/>
    <w:rsid w:val="005C6288"/>
    <w:rsid w:val="005D1097"/>
    <w:rsid w:val="005D20B1"/>
    <w:rsid w:val="005D3A98"/>
    <w:rsid w:val="005E6481"/>
    <w:rsid w:val="005F368F"/>
    <w:rsid w:val="005F3A6B"/>
    <w:rsid w:val="006024EA"/>
    <w:rsid w:val="00602AAD"/>
    <w:rsid w:val="006232AE"/>
    <w:rsid w:val="006233D2"/>
    <w:rsid w:val="00625AED"/>
    <w:rsid w:val="006516C1"/>
    <w:rsid w:val="006537A1"/>
    <w:rsid w:val="00662BAA"/>
    <w:rsid w:val="0066771A"/>
    <w:rsid w:val="00673FC5"/>
    <w:rsid w:val="00681EE3"/>
    <w:rsid w:val="00682C46"/>
    <w:rsid w:val="00687987"/>
    <w:rsid w:val="00693B4A"/>
    <w:rsid w:val="00694F97"/>
    <w:rsid w:val="0069541A"/>
    <w:rsid w:val="00697082"/>
    <w:rsid w:val="00697529"/>
    <w:rsid w:val="006A1F9E"/>
    <w:rsid w:val="006A222A"/>
    <w:rsid w:val="006A5CDC"/>
    <w:rsid w:val="006C21C5"/>
    <w:rsid w:val="006D0E09"/>
    <w:rsid w:val="006D149F"/>
    <w:rsid w:val="006D59CB"/>
    <w:rsid w:val="006E565F"/>
    <w:rsid w:val="006F79D0"/>
    <w:rsid w:val="007243AA"/>
    <w:rsid w:val="00736A45"/>
    <w:rsid w:val="00745631"/>
    <w:rsid w:val="00745E2A"/>
    <w:rsid w:val="00747A75"/>
    <w:rsid w:val="007519A5"/>
    <w:rsid w:val="007572F0"/>
    <w:rsid w:val="007649D1"/>
    <w:rsid w:val="007829A7"/>
    <w:rsid w:val="00785812"/>
    <w:rsid w:val="00787434"/>
    <w:rsid w:val="007920D2"/>
    <w:rsid w:val="00797AB3"/>
    <w:rsid w:val="007A0E6C"/>
    <w:rsid w:val="007A1AF3"/>
    <w:rsid w:val="007B387A"/>
    <w:rsid w:val="007B3AC0"/>
    <w:rsid w:val="007B6E4F"/>
    <w:rsid w:val="007C01B3"/>
    <w:rsid w:val="007C6740"/>
    <w:rsid w:val="007D0BA2"/>
    <w:rsid w:val="007E384D"/>
    <w:rsid w:val="007F73C2"/>
    <w:rsid w:val="0080111B"/>
    <w:rsid w:val="00803ED8"/>
    <w:rsid w:val="00805293"/>
    <w:rsid w:val="008065CD"/>
    <w:rsid w:val="008259A8"/>
    <w:rsid w:val="00844204"/>
    <w:rsid w:val="00850008"/>
    <w:rsid w:val="00856FFB"/>
    <w:rsid w:val="0086010D"/>
    <w:rsid w:val="008809B7"/>
    <w:rsid w:val="0088213C"/>
    <w:rsid w:val="008847AC"/>
    <w:rsid w:val="00892F5C"/>
    <w:rsid w:val="008A0654"/>
    <w:rsid w:val="008A0D57"/>
    <w:rsid w:val="008A3A4F"/>
    <w:rsid w:val="008D0C0D"/>
    <w:rsid w:val="008D4572"/>
    <w:rsid w:val="008D5691"/>
    <w:rsid w:val="008E153E"/>
    <w:rsid w:val="008E1EB9"/>
    <w:rsid w:val="008E6C03"/>
    <w:rsid w:val="009067EA"/>
    <w:rsid w:val="0090734D"/>
    <w:rsid w:val="009075F9"/>
    <w:rsid w:val="00917164"/>
    <w:rsid w:val="00920170"/>
    <w:rsid w:val="00921632"/>
    <w:rsid w:val="00942EB9"/>
    <w:rsid w:val="009454C5"/>
    <w:rsid w:val="00945718"/>
    <w:rsid w:val="0094678A"/>
    <w:rsid w:val="00956486"/>
    <w:rsid w:val="00973A7F"/>
    <w:rsid w:val="00983CEB"/>
    <w:rsid w:val="009A5FB5"/>
    <w:rsid w:val="009B0D03"/>
    <w:rsid w:val="009B1C1E"/>
    <w:rsid w:val="009D287B"/>
    <w:rsid w:val="009E2F2A"/>
    <w:rsid w:val="009E573A"/>
    <w:rsid w:val="009E6CE8"/>
    <w:rsid w:val="00A02EDA"/>
    <w:rsid w:val="00A11272"/>
    <w:rsid w:val="00A113A2"/>
    <w:rsid w:val="00A145E7"/>
    <w:rsid w:val="00A17CEF"/>
    <w:rsid w:val="00A22D24"/>
    <w:rsid w:val="00A30D9E"/>
    <w:rsid w:val="00A32ACD"/>
    <w:rsid w:val="00A41371"/>
    <w:rsid w:val="00A431F3"/>
    <w:rsid w:val="00A56812"/>
    <w:rsid w:val="00A610E2"/>
    <w:rsid w:val="00A7060F"/>
    <w:rsid w:val="00A71950"/>
    <w:rsid w:val="00A851F7"/>
    <w:rsid w:val="00A85465"/>
    <w:rsid w:val="00A86199"/>
    <w:rsid w:val="00A92D08"/>
    <w:rsid w:val="00A95C7F"/>
    <w:rsid w:val="00A96014"/>
    <w:rsid w:val="00A9708A"/>
    <w:rsid w:val="00AB1EEF"/>
    <w:rsid w:val="00AB543B"/>
    <w:rsid w:val="00AB70D6"/>
    <w:rsid w:val="00AC60B9"/>
    <w:rsid w:val="00AC6965"/>
    <w:rsid w:val="00AC7081"/>
    <w:rsid w:val="00AD0E8B"/>
    <w:rsid w:val="00AD186D"/>
    <w:rsid w:val="00AD74F9"/>
    <w:rsid w:val="00AE363C"/>
    <w:rsid w:val="00AE48ED"/>
    <w:rsid w:val="00AF14C7"/>
    <w:rsid w:val="00B01A99"/>
    <w:rsid w:val="00B0310A"/>
    <w:rsid w:val="00B06D66"/>
    <w:rsid w:val="00B12E53"/>
    <w:rsid w:val="00B161CF"/>
    <w:rsid w:val="00B323BF"/>
    <w:rsid w:val="00B35265"/>
    <w:rsid w:val="00B3539E"/>
    <w:rsid w:val="00B551F4"/>
    <w:rsid w:val="00B5790D"/>
    <w:rsid w:val="00B604EE"/>
    <w:rsid w:val="00B605B4"/>
    <w:rsid w:val="00B650FB"/>
    <w:rsid w:val="00B70457"/>
    <w:rsid w:val="00B76594"/>
    <w:rsid w:val="00B82CA5"/>
    <w:rsid w:val="00B85956"/>
    <w:rsid w:val="00B952B7"/>
    <w:rsid w:val="00BA3011"/>
    <w:rsid w:val="00BA3EB8"/>
    <w:rsid w:val="00BA448B"/>
    <w:rsid w:val="00BA55C6"/>
    <w:rsid w:val="00BA5A79"/>
    <w:rsid w:val="00BA6E5E"/>
    <w:rsid w:val="00BC71ED"/>
    <w:rsid w:val="00BE4329"/>
    <w:rsid w:val="00BE4535"/>
    <w:rsid w:val="00BF17FA"/>
    <w:rsid w:val="00BF3A5B"/>
    <w:rsid w:val="00C03786"/>
    <w:rsid w:val="00C04B49"/>
    <w:rsid w:val="00C10996"/>
    <w:rsid w:val="00C11679"/>
    <w:rsid w:val="00C161FA"/>
    <w:rsid w:val="00C20515"/>
    <w:rsid w:val="00C2139C"/>
    <w:rsid w:val="00C2290E"/>
    <w:rsid w:val="00C22A8F"/>
    <w:rsid w:val="00C261AE"/>
    <w:rsid w:val="00C32C8E"/>
    <w:rsid w:val="00C4766B"/>
    <w:rsid w:val="00C65221"/>
    <w:rsid w:val="00C70AC1"/>
    <w:rsid w:val="00C750E6"/>
    <w:rsid w:val="00C76669"/>
    <w:rsid w:val="00C80EA6"/>
    <w:rsid w:val="00C82DF6"/>
    <w:rsid w:val="00C92E9B"/>
    <w:rsid w:val="00C93285"/>
    <w:rsid w:val="00CA2AB3"/>
    <w:rsid w:val="00CA5D26"/>
    <w:rsid w:val="00CA781C"/>
    <w:rsid w:val="00CC069B"/>
    <w:rsid w:val="00CC62AD"/>
    <w:rsid w:val="00CD2994"/>
    <w:rsid w:val="00CD6BEE"/>
    <w:rsid w:val="00CD7C91"/>
    <w:rsid w:val="00CE4438"/>
    <w:rsid w:val="00CF1A80"/>
    <w:rsid w:val="00CF3824"/>
    <w:rsid w:val="00CF75AC"/>
    <w:rsid w:val="00D04310"/>
    <w:rsid w:val="00D12A1F"/>
    <w:rsid w:val="00D14687"/>
    <w:rsid w:val="00D25166"/>
    <w:rsid w:val="00D408A4"/>
    <w:rsid w:val="00D40EF6"/>
    <w:rsid w:val="00D50054"/>
    <w:rsid w:val="00D6226C"/>
    <w:rsid w:val="00D64087"/>
    <w:rsid w:val="00D724C2"/>
    <w:rsid w:val="00D74812"/>
    <w:rsid w:val="00D749AB"/>
    <w:rsid w:val="00D80E28"/>
    <w:rsid w:val="00D869D8"/>
    <w:rsid w:val="00D91E91"/>
    <w:rsid w:val="00D97688"/>
    <w:rsid w:val="00DB7419"/>
    <w:rsid w:val="00DD1E5C"/>
    <w:rsid w:val="00DD3E2C"/>
    <w:rsid w:val="00DD54BE"/>
    <w:rsid w:val="00DE3528"/>
    <w:rsid w:val="00DE7853"/>
    <w:rsid w:val="00DF0A46"/>
    <w:rsid w:val="00DF2A9D"/>
    <w:rsid w:val="00DF55AC"/>
    <w:rsid w:val="00E05C7C"/>
    <w:rsid w:val="00E06987"/>
    <w:rsid w:val="00E16B19"/>
    <w:rsid w:val="00E34325"/>
    <w:rsid w:val="00E347D9"/>
    <w:rsid w:val="00E40AFE"/>
    <w:rsid w:val="00E51FCE"/>
    <w:rsid w:val="00E577E1"/>
    <w:rsid w:val="00E647D1"/>
    <w:rsid w:val="00E77A75"/>
    <w:rsid w:val="00E8566F"/>
    <w:rsid w:val="00E9381A"/>
    <w:rsid w:val="00E95242"/>
    <w:rsid w:val="00EB5551"/>
    <w:rsid w:val="00ED01D5"/>
    <w:rsid w:val="00EE7438"/>
    <w:rsid w:val="00EF1CAA"/>
    <w:rsid w:val="00F05E09"/>
    <w:rsid w:val="00F21923"/>
    <w:rsid w:val="00F30EB9"/>
    <w:rsid w:val="00F31672"/>
    <w:rsid w:val="00F34FA1"/>
    <w:rsid w:val="00F37EB2"/>
    <w:rsid w:val="00F4721F"/>
    <w:rsid w:val="00F51112"/>
    <w:rsid w:val="00F52DB1"/>
    <w:rsid w:val="00F64489"/>
    <w:rsid w:val="00F64AB4"/>
    <w:rsid w:val="00F66761"/>
    <w:rsid w:val="00F66AB1"/>
    <w:rsid w:val="00F67D4E"/>
    <w:rsid w:val="00F71FA5"/>
    <w:rsid w:val="00F7459F"/>
    <w:rsid w:val="00F81D04"/>
    <w:rsid w:val="00F9664F"/>
    <w:rsid w:val="00F968F6"/>
    <w:rsid w:val="00F978DE"/>
    <w:rsid w:val="00FA1AC3"/>
    <w:rsid w:val="00FB6908"/>
    <w:rsid w:val="00FE1F66"/>
    <w:rsid w:val="00FE2C8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4E15C7"/>
  <w15:docId w15:val="{25C6C7AC-650B-4AC2-B93A-783A491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526597"/>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526597"/>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526597"/>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526597"/>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E5C40-90AF-4B10-B9B8-38E96C4E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62</cp:revision>
  <cp:lastPrinted>2023-09-26T01:16:00Z</cp:lastPrinted>
  <dcterms:created xsi:type="dcterms:W3CDTF">2013-06-19T20:06:00Z</dcterms:created>
  <dcterms:modified xsi:type="dcterms:W3CDTF">2023-09-26T01:16:00Z</dcterms:modified>
</cp:coreProperties>
</file>