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29" w:rsidRDefault="00B35265" w:rsidP="00F64489">
      <w:pPr>
        <w:pStyle w:val="Heading1"/>
      </w:pPr>
      <w:bookmarkStart w:id="0" w:name="_Ref358291343"/>
      <w:bookmarkStart w:id="1" w:name="_Ref358632470"/>
      <w:bookmarkStart w:id="2" w:name="_Ref358967577"/>
      <w:bookmarkStart w:id="3" w:name="_GoBack"/>
      <w:bookmarkEnd w:id="3"/>
      <w:r>
        <w:t>Tutorial</w:t>
      </w:r>
      <w:r w:rsidR="00082F0B" w:rsidRPr="00BE4329">
        <w:t xml:space="preserve"> </w:t>
      </w:r>
      <w:r w:rsidR="00602AAD">
        <w:t>–</w:t>
      </w:r>
      <w:r w:rsidR="00082F0B" w:rsidRPr="00BE4329">
        <w:t xml:space="preserve"> </w:t>
      </w:r>
      <w:bookmarkEnd w:id="0"/>
      <w:bookmarkEnd w:id="1"/>
      <w:r>
        <w:t>How to prepare a table</w:t>
      </w:r>
      <w:bookmarkEnd w:id="2"/>
      <w:r w:rsidR="00A30D9E" w:rsidRPr="00BE4329">
        <w:t xml:space="preserve"> </w:t>
      </w:r>
    </w:p>
    <w:p w:rsidR="00CB772C" w:rsidRPr="00CB772C" w:rsidRDefault="00CB772C" w:rsidP="00AF24E4">
      <w:pPr>
        <w:pStyle w:val="Heading2"/>
      </w:pPr>
      <w:r w:rsidRPr="00AF24E4">
        <w:t>Preparing</w:t>
      </w:r>
      <w:r w:rsidRPr="00CB772C">
        <w:t xml:space="preserve"> a table</w:t>
      </w:r>
    </w:p>
    <w:p w:rsidR="008E1EB9" w:rsidRDefault="008E1EB9" w:rsidP="008E1EB9">
      <w:r>
        <w:t>Here is an example of a proper table for your physics labs:</w:t>
      </w:r>
    </w:p>
    <w:p w:rsidR="008E1EB9" w:rsidRDefault="008E1EB9" w:rsidP="008E1EB9"/>
    <w:p w:rsidR="008E1EB9" w:rsidRDefault="008E1EB9" w:rsidP="008E1EB9">
      <w:pPr>
        <w:pStyle w:val="Caption"/>
        <w:keepNext/>
      </w:pPr>
      <w:bookmarkStart w:id="4" w:name="_Ref358970402"/>
      <w:r>
        <w:t xml:space="preserve">Table </w:t>
      </w:r>
      <w:r w:rsidR="005A72A4">
        <w:fldChar w:fldCharType="begin"/>
      </w:r>
      <w:r w:rsidR="005A72A4">
        <w:instrText xml:space="preserve"> SEQ Table \* ARABIC </w:instrText>
      </w:r>
      <w:r w:rsidR="005A72A4">
        <w:fldChar w:fldCharType="separate"/>
      </w:r>
      <w:r w:rsidR="005A72A4">
        <w:rPr>
          <w:noProof/>
        </w:rPr>
        <w:t>1</w:t>
      </w:r>
      <w:r w:rsidR="005A72A4">
        <w:rPr>
          <w:noProof/>
        </w:rPr>
        <w:fldChar w:fldCharType="end"/>
      </w:r>
      <w:bookmarkEnd w:id="4"/>
      <w:r>
        <w:t xml:space="preserve"> - A cart moving at constant velocity</w:t>
      </w:r>
    </w:p>
    <w:tbl>
      <w:tblPr>
        <w:tblStyle w:val="TableGrid"/>
        <w:tblW w:w="2500" w:type="pct"/>
        <w:jc w:val="center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</w:tblGrid>
      <w:tr w:rsidR="008E1EB9" w:rsidTr="00397DF2">
        <w:trPr>
          <w:trHeight w:val="283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1EB9" w:rsidRPr="008E1EB9" w:rsidRDefault="008E1EB9" w:rsidP="005A128E">
            <w:pPr>
              <w:jc w:val="center"/>
              <w:rPr>
                <w:b/>
              </w:rPr>
            </w:pPr>
            <w:r>
              <w:rPr>
                <w:b/>
              </w:rPr>
              <w:t xml:space="preserve">Time,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  <w:r w:rsidR="005A128E">
              <w:rPr>
                <w:b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8E1EB9" w:rsidRPr="008E1EB9" w:rsidRDefault="008E1EB9" w:rsidP="005A128E">
            <w:pPr>
              <w:jc w:val="center"/>
              <w:rPr>
                <w:b/>
              </w:rPr>
            </w:pPr>
            <w:r>
              <w:rPr>
                <w:b/>
              </w:rPr>
              <w:t xml:space="preserve">Distance,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oMath>
          </w:p>
        </w:tc>
      </w:tr>
      <w:tr w:rsidR="005A128E" w:rsidTr="00397DF2">
        <w:trPr>
          <w:trHeight w:val="283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28E" w:rsidRDefault="005A128E" w:rsidP="005A128E">
            <w:pPr>
              <w:jc w:val="center"/>
              <w:rPr>
                <w:b/>
              </w:rPr>
            </w:pPr>
            <w:r>
              <w:rPr>
                <w:b/>
              </w:rPr>
              <w:t>(s)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28E" w:rsidRDefault="005A128E" w:rsidP="00A35A00">
            <w:pPr>
              <w:jc w:val="center"/>
              <w:rPr>
                <w:b/>
              </w:rPr>
            </w:pPr>
            <w:r w:rsidRPr="008E1EB9">
              <w:rPr>
                <w:b/>
              </w:rPr>
              <w:t>(mm)×10</w:t>
            </w:r>
            <w:r w:rsidRPr="008E1EB9">
              <w:rPr>
                <w:b/>
                <w:vertAlign w:val="superscript"/>
              </w:rPr>
              <w:t>3</w:t>
            </w:r>
          </w:p>
        </w:tc>
      </w:tr>
      <w:tr w:rsidR="005A128E" w:rsidTr="00397DF2">
        <w:trPr>
          <w:trHeight w:val="283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28E" w:rsidRDefault="005A128E" w:rsidP="00A35A00">
            <w:pPr>
              <w:jc w:val="center"/>
              <w:rPr>
                <w:b/>
              </w:rPr>
            </w:pPr>
            <w:r w:rsidRPr="008E1EB9">
              <w:rPr>
                <w:b/>
              </w:rPr>
              <w:t>± 0.2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28E" w:rsidRDefault="005A128E" w:rsidP="00A35A00">
            <w:pPr>
              <w:jc w:val="center"/>
              <w:rPr>
                <w:b/>
              </w:rPr>
            </w:pPr>
            <w:r>
              <w:rPr>
                <w:b/>
              </w:rPr>
              <w:t>± 5%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8E1EB9" w:rsidRDefault="008E1EB9" w:rsidP="00A35A00">
            <w:pPr>
              <w:jc w:val="center"/>
            </w:pPr>
            <w:r>
              <w:t>1.0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8E1EB9" w:rsidRDefault="008E1EB9" w:rsidP="00A35A00">
            <w:pPr>
              <w:jc w:val="center"/>
            </w:pPr>
            <w:r>
              <w:t>12.8 ± 0.6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2.0</w:t>
            </w:r>
          </w:p>
        </w:tc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17.0 ± 0.9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3.0</w:t>
            </w:r>
          </w:p>
        </w:tc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17.7 ± 0.9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4.0</w:t>
            </w:r>
          </w:p>
        </w:tc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20 ± 1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5.0</w:t>
            </w:r>
          </w:p>
        </w:tc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24 ± 1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6.0</w:t>
            </w:r>
          </w:p>
        </w:tc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25 ± 1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7.0</w:t>
            </w:r>
          </w:p>
        </w:tc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26 ± 1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8.0</w:t>
            </w:r>
          </w:p>
        </w:tc>
        <w:tc>
          <w:tcPr>
            <w:tcW w:w="2500" w:type="pct"/>
            <w:vAlign w:val="center"/>
          </w:tcPr>
          <w:p w:rsidR="008E1EB9" w:rsidRDefault="008E1EB9" w:rsidP="00A35A00">
            <w:pPr>
              <w:jc w:val="center"/>
            </w:pPr>
            <w:r>
              <w:t>30 ± 1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tcBorders>
              <w:bottom w:val="single" w:sz="6" w:space="0" w:color="auto"/>
            </w:tcBorders>
            <w:vAlign w:val="center"/>
          </w:tcPr>
          <w:p w:rsidR="008E1EB9" w:rsidRDefault="008E1EB9" w:rsidP="00A35A00">
            <w:pPr>
              <w:jc w:val="center"/>
            </w:pPr>
            <w:r>
              <w:t>9.0</w:t>
            </w:r>
          </w:p>
        </w:tc>
        <w:tc>
          <w:tcPr>
            <w:tcW w:w="2500" w:type="pct"/>
            <w:tcBorders>
              <w:bottom w:val="single" w:sz="6" w:space="0" w:color="auto"/>
            </w:tcBorders>
            <w:vAlign w:val="center"/>
          </w:tcPr>
          <w:p w:rsidR="008E1EB9" w:rsidRDefault="008E1EB9" w:rsidP="00A35A00">
            <w:pPr>
              <w:jc w:val="center"/>
            </w:pPr>
            <w:r>
              <w:t>33 ± 2</w:t>
            </w:r>
          </w:p>
        </w:tc>
      </w:tr>
      <w:tr w:rsidR="008E1EB9" w:rsidTr="00803ED8">
        <w:trPr>
          <w:trHeight w:val="283"/>
          <w:jc w:val="center"/>
        </w:trPr>
        <w:tc>
          <w:tcPr>
            <w:tcW w:w="2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E1EB9" w:rsidRDefault="008E1EB9" w:rsidP="00A35A00">
            <w:pPr>
              <w:jc w:val="center"/>
            </w:pPr>
            <w:r>
              <w:t>10.0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E1EB9" w:rsidRDefault="008E1EB9" w:rsidP="00A35A00">
            <w:pPr>
              <w:jc w:val="center"/>
            </w:pPr>
            <w:r>
              <w:t>35 ± 2</w:t>
            </w:r>
          </w:p>
        </w:tc>
      </w:tr>
    </w:tbl>
    <w:p w:rsidR="008E1EB9" w:rsidRDefault="008E1EB9" w:rsidP="008E1EB9"/>
    <w:p w:rsidR="008E1EB9" w:rsidRDefault="00053B41" w:rsidP="008E1EB9">
      <w:r>
        <w:t xml:space="preserve">Comments on </w:t>
      </w:r>
      <w:r w:rsidRPr="00053B41">
        <w:rPr>
          <w:rStyle w:val="CrossRefChar"/>
        </w:rPr>
        <w:fldChar w:fldCharType="begin"/>
      </w:r>
      <w:r w:rsidRPr="00053B41">
        <w:rPr>
          <w:rStyle w:val="CrossRefChar"/>
        </w:rPr>
        <w:instrText xml:space="preserve"> REF _Ref358970402 \h </w:instrText>
      </w:r>
      <w:r>
        <w:rPr>
          <w:rStyle w:val="CrossRefChar"/>
        </w:rPr>
        <w:instrText xml:space="preserve"> \* MERGEFORMAT </w:instrText>
      </w:r>
      <w:r w:rsidRPr="00053B41">
        <w:rPr>
          <w:rStyle w:val="CrossRefChar"/>
        </w:rPr>
      </w:r>
      <w:r w:rsidRPr="00053B41">
        <w:rPr>
          <w:rStyle w:val="CrossRefChar"/>
        </w:rPr>
        <w:fldChar w:fldCharType="separate"/>
      </w:r>
      <w:r w:rsidR="005A72A4" w:rsidRPr="005A72A4">
        <w:rPr>
          <w:rStyle w:val="CrossRefChar"/>
        </w:rPr>
        <w:t>Table 1</w:t>
      </w:r>
      <w:r w:rsidRPr="00053B41">
        <w:rPr>
          <w:rStyle w:val="CrossRefChar"/>
        </w:rPr>
        <w:fldChar w:fldCharType="end"/>
      </w:r>
      <w:r w:rsidR="008E1EB9">
        <w:t>:</w:t>
      </w:r>
    </w:p>
    <w:p w:rsidR="008E1EB9" w:rsidRDefault="008E1EB9" w:rsidP="008E1EB9"/>
    <w:p w:rsidR="00596045" w:rsidRDefault="008E1EB9" w:rsidP="008E1EB9">
      <w:pPr>
        <w:pStyle w:val="ListParagraph"/>
        <w:numPr>
          <w:ilvl w:val="0"/>
          <w:numId w:val="22"/>
        </w:numPr>
        <w:jc w:val="left"/>
      </w:pPr>
      <w:r>
        <w:t>Each table must be numbered chronologically and have a relevant title</w:t>
      </w:r>
      <w:r w:rsidR="00DD3E2C">
        <w:t xml:space="preserve">. </w:t>
      </w:r>
      <w:r w:rsidR="00D50054">
        <w:t xml:space="preserve">  </w:t>
      </w:r>
      <w:r w:rsidR="00596045">
        <w:br/>
      </w:r>
    </w:p>
    <w:p w:rsidR="00596045" w:rsidRDefault="008E1EB9" w:rsidP="008E1EB9">
      <w:pPr>
        <w:pStyle w:val="ListParagraph"/>
        <w:numPr>
          <w:ilvl w:val="0"/>
          <w:numId w:val="22"/>
        </w:numPr>
        <w:jc w:val="left"/>
      </w:pPr>
      <w:r>
        <w:t xml:space="preserve">Each column should have a </w:t>
      </w:r>
      <w:r w:rsidR="00DD3E2C">
        <w:t>header section</w:t>
      </w:r>
      <w:r w:rsidR="00596045">
        <w:t>:</w:t>
      </w:r>
      <w:r w:rsidR="00596045">
        <w:br/>
      </w:r>
    </w:p>
    <w:p w:rsidR="00596045" w:rsidRDefault="00596045" w:rsidP="00596045">
      <w:pPr>
        <w:tabs>
          <w:tab w:val="left" w:pos="2127"/>
        </w:tabs>
        <w:ind w:left="2127" w:hanging="1047"/>
        <w:jc w:val="left"/>
      </w:pPr>
      <w:r w:rsidRPr="00554189">
        <w:rPr>
          <w:u w:val="single"/>
        </w:rPr>
        <w:t>First line</w:t>
      </w:r>
      <w:r>
        <w:t xml:space="preserve">: </w:t>
      </w:r>
      <w:r>
        <w:tab/>
      </w:r>
      <w:r w:rsidR="00AB543B">
        <w:t>A d</w:t>
      </w:r>
      <w:r>
        <w:t>escription and</w:t>
      </w:r>
      <w:r w:rsidR="00AB543B">
        <w:t>/or</w:t>
      </w:r>
      <w:r>
        <w:t xml:space="preserve"> </w:t>
      </w:r>
      <w:r w:rsidR="00AB543B">
        <w:t xml:space="preserve">a </w:t>
      </w:r>
      <w:r>
        <w:t>symbol of the presented quantity</w:t>
      </w:r>
      <w:r w:rsidR="00AB543B">
        <w:t xml:space="preserve"> should appear in the header</w:t>
      </w:r>
      <w:r>
        <w:t xml:space="preserve">. </w:t>
      </w:r>
      <w:r>
        <w:tab/>
      </w:r>
    </w:p>
    <w:p w:rsidR="00596045" w:rsidRDefault="00596045" w:rsidP="00596045">
      <w:pPr>
        <w:tabs>
          <w:tab w:val="left" w:pos="2127"/>
        </w:tabs>
        <w:ind w:left="2127" w:hanging="1047"/>
        <w:jc w:val="left"/>
      </w:pPr>
    </w:p>
    <w:p w:rsidR="00596045" w:rsidRDefault="00596045" w:rsidP="00596045">
      <w:pPr>
        <w:tabs>
          <w:tab w:val="left" w:pos="2127"/>
        </w:tabs>
        <w:ind w:left="2127" w:hanging="1047"/>
        <w:jc w:val="left"/>
      </w:pPr>
      <w:r w:rsidRPr="00554189">
        <w:rPr>
          <w:u w:val="single"/>
        </w:rPr>
        <w:t>Second line</w:t>
      </w:r>
      <w:r>
        <w:t>:</w:t>
      </w:r>
      <w:r w:rsidR="00554189" w:rsidRPr="00554189">
        <w:t xml:space="preserve"> </w:t>
      </w:r>
      <w:r w:rsidR="00554189">
        <w:t xml:space="preserve">Units should be indicated in the column header and never in the body of the table. </w:t>
      </w:r>
      <w:r w:rsidR="00AB543B">
        <w:br/>
      </w:r>
      <w:r w:rsidR="00AB543B">
        <w:br/>
      </w:r>
      <w:r w:rsidR="00AB543B" w:rsidRPr="00AB543B">
        <w:t xml:space="preserve">When comparing experimental and accepted values it </w:t>
      </w:r>
      <w:r w:rsidR="00AB543B">
        <w:t>can be</w:t>
      </w:r>
      <w:r w:rsidR="00AB543B" w:rsidRPr="00AB543B">
        <w:t xml:space="preserve"> </w:t>
      </w:r>
      <w:r w:rsidR="00AB543B">
        <w:t xml:space="preserve">convenient to have a multiplier </w:t>
      </w:r>
      <w:r w:rsidR="00AB543B" w:rsidRPr="00AB543B">
        <w:t xml:space="preserve">to represent values that are different by several orders of magnitudes </w:t>
      </w:r>
      <w:r w:rsidR="00AB543B">
        <w:t>in order to keep certain units.</w:t>
      </w:r>
      <w:r w:rsidR="00AB543B" w:rsidRPr="00AB543B">
        <w:t xml:space="preserve"> If this is the case, this factor should be indicated in the column header </w:t>
      </w:r>
      <w:r w:rsidR="00AB543B">
        <w:t xml:space="preserve">beside the units </w:t>
      </w:r>
      <w:r w:rsidR="00AB543B" w:rsidRPr="00AB543B">
        <w:t xml:space="preserve">as shown in </w:t>
      </w:r>
      <w:r w:rsidR="00AB543B">
        <w:t>the second column</w:t>
      </w:r>
      <w:r w:rsidR="00AB543B" w:rsidRPr="00AB543B">
        <w:t>.</w:t>
      </w:r>
    </w:p>
    <w:p w:rsidR="00596045" w:rsidRDefault="00596045" w:rsidP="00596045">
      <w:pPr>
        <w:tabs>
          <w:tab w:val="left" w:pos="2127"/>
        </w:tabs>
        <w:ind w:left="2127" w:hanging="1047"/>
        <w:jc w:val="left"/>
      </w:pPr>
    </w:p>
    <w:p w:rsidR="00596045" w:rsidRDefault="00596045" w:rsidP="00AB543B">
      <w:pPr>
        <w:tabs>
          <w:tab w:val="left" w:pos="2127"/>
        </w:tabs>
        <w:ind w:left="2127" w:hanging="1047"/>
        <w:jc w:val="left"/>
      </w:pPr>
      <w:r w:rsidRPr="00554189">
        <w:rPr>
          <w:u w:val="single"/>
        </w:rPr>
        <w:t>Third line</w:t>
      </w:r>
      <w:r>
        <w:t>:</w:t>
      </w:r>
      <w:r w:rsidR="00554189">
        <w:tab/>
        <w:t xml:space="preserve">If the uncertainty is constant throughout the column it should be indicated in column header as in the first column. </w:t>
      </w:r>
      <w:r w:rsidR="00AB543B">
        <w:br/>
      </w:r>
      <w:r w:rsidR="00AB543B">
        <w:br/>
      </w:r>
      <w:r w:rsidR="00554189">
        <w:t>If the absolute uncertainty varies, it should be written beside the measurements as shown in the second column. Note that since the relative uncertainty for the second column is constant (</w:t>
      </w:r>
      <w:r w:rsidR="00554189" w:rsidRPr="00554189">
        <w:t>± 5%</w:t>
      </w:r>
      <w:r w:rsidR="00554189">
        <w:t>), we also include it in the header.</w:t>
      </w:r>
      <w:r>
        <w:br/>
      </w:r>
    </w:p>
    <w:p w:rsidR="00592093" w:rsidRDefault="00DD3E2C" w:rsidP="00397DF2">
      <w:pPr>
        <w:pStyle w:val="ListParagraph"/>
        <w:numPr>
          <w:ilvl w:val="0"/>
          <w:numId w:val="22"/>
        </w:numPr>
        <w:jc w:val="left"/>
      </w:pPr>
      <w:r w:rsidRPr="00DD3E2C">
        <w:t>The number of significant digits in a measurement is limited by t</w:t>
      </w:r>
      <w:r>
        <w:t>he precision of the instrument.</w:t>
      </w:r>
      <w:r w:rsidRPr="00DD3E2C">
        <w:t xml:space="preserve"> The uncertainty can o</w:t>
      </w:r>
      <w:r>
        <w:t>nly have ONE significant digit.</w:t>
      </w:r>
      <w:r w:rsidRPr="00DD3E2C">
        <w:t xml:space="preserve"> A measurement can therefore only have as much decimal places as the uncertainty associated with the measurement.  </w:t>
      </w:r>
      <w:r>
        <w:t>For example, (25.052 ± 0.25</w:t>
      </w:r>
      <w:proofErr w:type="gramStart"/>
      <w:r>
        <w:t>)m</w:t>
      </w:r>
      <w:proofErr w:type="gramEnd"/>
      <w:r w:rsidRPr="00DD3E2C">
        <w:t xml:space="preserve"> and (</w:t>
      </w:r>
      <w:r>
        <w:t xml:space="preserve">25.05 ± </w:t>
      </w:r>
      <w:r>
        <w:lastRenderedPageBreak/>
        <w:t>0.25)m are both wrong. The correct way to express this</w:t>
      </w:r>
      <w:r w:rsidRPr="00DD3E2C">
        <w:t xml:space="preserve"> </w:t>
      </w:r>
      <w:r>
        <w:t>measurement is (25.1 ± 0.3)m.</w:t>
      </w:r>
      <w:r w:rsidR="00B551F4">
        <w:br/>
      </w:r>
    </w:p>
    <w:p w:rsidR="003C3E64" w:rsidRDefault="00B551F4" w:rsidP="003C3E64">
      <w:pPr>
        <w:pStyle w:val="ListParagraph"/>
        <w:numPr>
          <w:ilvl w:val="0"/>
          <w:numId w:val="22"/>
        </w:numPr>
        <w:jc w:val="left"/>
      </w:pPr>
      <w:r>
        <w:t>The following table presents how the measurements in the second column we</w:t>
      </w:r>
      <w:r w:rsidR="00B12E53">
        <w:t xml:space="preserve">re calculated from the raw data.  It starts with the raw data in the first column and explains the steps to follow in order to obtain the </w:t>
      </w:r>
      <w:r w:rsidR="003C3E64">
        <w:t xml:space="preserve">column to present in </w:t>
      </w:r>
      <w:r w:rsidR="003C3E64" w:rsidRPr="003C3E64">
        <w:rPr>
          <w:rStyle w:val="CrossRefChar"/>
        </w:rPr>
        <w:fldChar w:fldCharType="begin"/>
      </w:r>
      <w:r w:rsidR="003C3E64" w:rsidRPr="003C3E64">
        <w:rPr>
          <w:rStyle w:val="CrossRefChar"/>
        </w:rPr>
        <w:instrText xml:space="preserve"> REF _Ref358970402 \h </w:instrText>
      </w:r>
      <w:r w:rsidR="003C3E64">
        <w:rPr>
          <w:rStyle w:val="CrossRefChar"/>
        </w:rPr>
        <w:instrText xml:space="preserve"> \* MERGEFORMAT </w:instrText>
      </w:r>
      <w:r w:rsidR="003C3E64" w:rsidRPr="003C3E64">
        <w:rPr>
          <w:rStyle w:val="CrossRefChar"/>
        </w:rPr>
      </w:r>
      <w:r w:rsidR="003C3E64" w:rsidRPr="003C3E64">
        <w:rPr>
          <w:rStyle w:val="CrossRefChar"/>
        </w:rPr>
        <w:fldChar w:fldCharType="separate"/>
      </w:r>
      <w:r w:rsidR="005A72A4" w:rsidRPr="005A72A4">
        <w:rPr>
          <w:rStyle w:val="CrossRefChar"/>
        </w:rPr>
        <w:t>Table 1</w:t>
      </w:r>
      <w:r w:rsidR="003C3E64" w:rsidRPr="003C3E64">
        <w:rPr>
          <w:rStyle w:val="CrossRefChar"/>
        </w:rPr>
        <w:fldChar w:fldCharType="end"/>
      </w:r>
      <w:r w:rsidR="003C3E64">
        <w:t xml:space="preserve">. At the end of the manipulation of the raw data, the </w:t>
      </w:r>
      <w:r w:rsidR="003C3E64" w:rsidRPr="003C3E64">
        <w:t xml:space="preserve">uncertainty should always have only ONE significant digit while the </w:t>
      </w:r>
      <w:r w:rsidR="003C3E64">
        <w:t xml:space="preserve">presented </w:t>
      </w:r>
      <w:r w:rsidR="003C3E64" w:rsidRPr="003C3E64">
        <w:t>measurement can never have a higher precision than its associated uncertainty</w:t>
      </w:r>
      <w:r w:rsidR="003C3E64">
        <w:t xml:space="preserve">.  </w:t>
      </w:r>
    </w:p>
    <w:p w:rsidR="00B551F4" w:rsidRDefault="00592093" w:rsidP="003C3E64">
      <w:pPr>
        <w:pStyle w:val="ListParagraph"/>
        <w:jc w:val="left"/>
      </w:pPr>
      <w:r>
        <w:br/>
      </w:r>
    </w:p>
    <w:p w:rsidR="003C3E64" w:rsidRDefault="003C3E64" w:rsidP="003C3E64">
      <w:pPr>
        <w:pStyle w:val="Caption"/>
        <w:keepNext/>
      </w:pPr>
      <w:r>
        <w:t xml:space="preserve">Table </w:t>
      </w:r>
      <w:r w:rsidR="005A72A4">
        <w:fldChar w:fldCharType="begin"/>
      </w:r>
      <w:r w:rsidR="005A72A4">
        <w:instrText xml:space="preserve"> SEQ Table \* ARABIC </w:instrText>
      </w:r>
      <w:r w:rsidR="005A72A4">
        <w:fldChar w:fldCharType="separate"/>
      </w:r>
      <w:r w:rsidR="005A72A4">
        <w:rPr>
          <w:noProof/>
        </w:rPr>
        <w:t>2</w:t>
      </w:r>
      <w:r w:rsidR="005A72A4">
        <w:rPr>
          <w:noProof/>
        </w:rPr>
        <w:fldChar w:fldCharType="end"/>
      </w:r>
      <w:r>
        <w:t xml:space="preserve"> - From raw data with constant relative uncertainty to values presented in the second column of </w:t>
      </w:r>
      <w:r w:rsidRPr="00C70AC1">
        <w:rPr>
          <w:rStyle w:val="CrossRefChar"/>
          <w:sz w:val="18"/>
          <w:szCs w:val="18"/>
        </w:rPr>
        <w:fldChar w:fldCharType="begin"/>
      </w:r>
      <w:r w:rsidRPr="00C70AC1">
        <w:rPr>
          <w:rStyle w:val="CrossRefChar"/>
          <w:sz w:val="18"/>
          <w:szCs w:val="18"/>
        </w:rPr>
        <w:instrText xml:space="preserve"> REF _Ref358970402 \h </w:instrText>
      </w:r>
      <w:r w:rsidR="00C70AC1" w:rsidRPr="00C70AC1">
        <w:rPr>
          <w:rStyle w:val="CrossRefChar"/>
          <w:sz w:val="18"/>
          <w:szCs w:val="18"/>
        </w:rPr>
        <w:instrText xml:space="preserve"> \* MERGEFORMAT </w:instrText>
      </w:r>
      <w:r w:rsidRPr="00C70AC1">
        <w:rPr>
          <w:rStyle w:val="CrossRefChar"/>
          <w:sz w:val="18"/>
          <w:szCs w:val="18"/>
        </w:rPr>
      </w:r>
      <w:r w:rsidRPr="00C70AC1">
        <w:rPr>
          <w:rStyle w:val="CrossRefChar"/>
          <w:sz w:val="18"/>
          <w:szCs w:val="18"/>
        </w:rPr>
        <w:fldChar w:fldCharType="separate"/>
      </w:r>
      <w:r w:rsidR="005A72A4" w:rsidRPr="005A72A4">
        <w:rPr>
          <w:rStyle w:val="CrossRefChar"/>
          <w:sz w:val="18"/>
          <w:szCs w:val="18"/>
        </w:rPr>
        <w:t>Table 1</w:t>
      </w:r>
      <w:r w:rsidRPr="00C70AC1">
        <w:rPr>
          <w:rStyle w:val="CrossRefChar"/>
          <w:sz w:val="18"/>
          <w:szCs w:val="18"/>
        </w:rPr>
        <w:fldChar w:fldCharType="end"/>
      </w:r>
    </w:p>
    <w:tbl>
      <w:tblPr>
        <w:tblStyle w:val="TableGrid"/>
        <w:tblW w:w="4589" w:type="pct"/>
        <w:jc w:val="center"/>
        <w:tblInd w:w="84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1415"/>
        <w:gridCol w:w="1419"/>
        <w:gridCol w:w="2551"/>
      </w:tblGrid>
      <w:tr w:rsidR="00592093" w:rsidRPr="00703123" w:rsidTr="00CD7C91">
        <w:trPr>
          <w:trHeight w:val="397"/>
          <w:jc w:val="center"/>
        </w:trPr>
        <w:tc>
          <w:tcPr>
            <w:tcW w:w="807" w:type="pct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92093" w:rsidRPr="00B551F4" w:rsidRDefault="00592093" w:rsidP="00A35A0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1F4">
              <w:rPr>
                <w:b/>
              </w:rPr>
              <w:t>Raw data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92093" w:rsidRPr="00B551F4" w:rsidRDefault="00592093" w:rsidP="00A35A0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222A7">
              <w:rPr>
                <w:lang w:val="fr-CA"/>
              </w:rPr>
              <w:sym w:font="Symbol" w:char="F0DE"/>
            </w:r>
            <w:r w:rsidRPr="003C3E64">
              <w:t xml:space="preserve">  </w:t>
            </w:r>
            <w:r w:rsidRPr="00B551F4">
              <w:rPr>
                <w:b/>
              </w:rPr>
              <w:t>Step 1:</w:t>
            </w:r>
          </w:p>
        </w:tc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92093" w:rsidRPr="00B551F4" w:rsidRDefault="00592093" w:rsidP="00A35A0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222A7">
              <w:rPr>
                <w:lang w:val="fr-CA"/>
              </w:rPr>
              <w:sym w:font="Symbol" w:char="F0DE"/>
            </w:r>
            <w:r w:rsidRPr="003C3E64">
              <w:t xml:space="preserve">  </w:t>
            </w:r>
            <w:r w:rsidRPr="00B551F4">
              <w:rPr>
                <w:b/>
              </w:rPr>
              <w:t>Step 2: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592093" w:rsidRPr="00B551F4" w:rsidRDefault="00592093" w:rsidP="00A35A0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222A7">
              <w:rPr>
                <w:lang w:val="fr-CA"/>
              </w:rPr>
              <w:sym w:font="Symbol" w:char="F0DE"/>
            </w:r>
            <w:r w:rsidRPr="003C3E64">
              <w:t xml:space="preserve">  </w:t>
            </w:r>
            <w:r w:rsidRPr="00B551F4">
              <w:rPr>
                <w:b/>
              </w:rPr>
              <w:t>Step 3:</w:t>
            </w:r>
          </w:p>
        </w:tc>
      </w:tr>
      <w:tr w:rsidR="00B551F4" w:rsidRPr="00EB7D09" w:rsidTr="00CD7C91">
        <w:trPr>
          <w:trHeight w:val="297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Distance  Measurements ±5%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Multiply measurements by 5%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After multiplying by 5%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 xml:space="preserve">Round off uncertainties to </w:t>
            </w:r>
            <w:r w:rsidRPr="00B551F4">
              <w:rPr>
                <w:b/>
                <w:sz w:val="18"/>
                <w:szCs w:val="18"/>
              </w:rPr>
              <w:t>ONE</w:t>
            </w:r>
            <w:r w:rsidRPr="00B551F4">
              <w:rPr>
                <w:sz w:val="18"/>
                <w:szCs w:val="18"/>
              </w:rPr>
              <w:t xml:space="preserve"> significant digit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In order to have a consistent degree of precision between the measurements and their associated uncertainties, round off the measurements to the same decimal place as their associated uncertainties</w:t>
            </w:r>
          </w:p>
        </w:tc>
      </w:tr>
      <w:tr w:rsidR="00B551F4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12.80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12.80 ± (0.05 × 12.80)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12.80 ± 0.64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12.80 ± 0.6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12.8 ± 0.6</w:t>
            </w:r>
          </w:p>
        </w:tc>
      </w:tr>
      <w:tr w:rsidR="00B551F4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17.00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17.00 ± (0.05 × 17.00)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17.00 ± 0.85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17.00 ± 0.9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17.0 ± 0.9</w:t>
            </w:r>
          </w:p>
        </w:tc>
      </w:tr>
      <w:tr w:rsidR="00B551F4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17.70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17.70 ± (0.05 × 17.70)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17.70 ± 0.885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17.70 ± 0.9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17.7 ± 0.9</w:t>
            </w:r>
          </w:p>
        </w:tc>
      </w:tr>
      <w:tr w:rsidR="00B551F4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20.15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20.15 ± (0.05 × 20.15)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20.15 ± 1.0075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20.15 ± 1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20 ± 1</w:t>
            </w:r>
          </w:p>
        </w:tc>
      </w:tr>
      <w:tr w:rsidR="00B551F4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24.00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24.00 ± (0.05 × 24.00)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24.00 ± 1.2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24.00 ± 1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24 ± 1</w:t>
            </w:r>
          </w:p>
        </w:tc>
      </w:tr>
      <w:tr w:rsidR="00B551F4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25.05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25.05 ± (0.05 × 25.05)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25.05 ± 1.2525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25.05 ± 1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25 ± 1</w:t>
            </w:r>
          </w:p>
        </w:tc>
      </w:tr>
      <w:tr w:rsidR="00B551F4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26.00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26.00 ± (0.05 × 26.00)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26.00 ± 1.3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26.00 ± 1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26 ± 1</w:t>
            </w:r>
          </w:p>
        </w:tc>
      </w:tr>
      <w:tr w:rsidR="00B551F4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29.95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29.95 ± (0.05 × 29.95)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29.95 ± 1.4975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29.95 ± 1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30 ± 1</w:t>
            </w:r>
          </w:p>
        </w:tc>
      </w:tr>
      <w:tr w:rsidR="00B551F4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33.00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33.00 ± (0.05 × 33.00)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33.00 ± 1.65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33.00 ± 2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33 ± 2</w:t>
            </w:r>
          </w:p>
        </w:tc>
      </w:tr>
      <w:tr w:rsidR="00CD7C91" w:rsidRPr="00EB7D09" w:rsidTr="00397DF2">
        <w:trPr>
          <w:trHeight w:val="283"/>
          <w:jc w:val="center"/>
        </w:trPr>
        <w:tc>
          <w:tcPr>
            <w:tcW w:w="807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34.85</w:t>
            </w:r>
          </w:p>
        </w:tc>
        <w:tc>
          <w:tcPr>
            <w:tcW w:w="1129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34.85 ± (0.05 × 34.85)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34.85 ± 1.7425</w:t>
            </w:r>
          </w:p>
        </w:tc>
        <w:tc>
          <w:tcPr>
            <w:tcW w:w="807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34.85 ± 2</w:t>
            </w:r>
          </w:p>
        </w:tc>
        <w:tc>
          <w:tcPr>
            <w:tcW w:w="1451" w:type="pct"/>
            <w:tcBorders>
              <w:left w:val="double" w:sz="4" w:space="0" w:color="auto"/>
            </w:tcBorders>
            <w:vAlign w:val="center"/>
          </w:tcPr>
          <w:p w:rsidR="00B551F4" w:rsidRPr="00B551F4" w:rsidRDefault="00B551F4" w:rsidP="00A35A0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551F4">
              <w:rPr>
                <w:sz w:val="18"/>
                <w:szCs w:val="18"/>
              </w:rPr>
              <w:t>35 ± 2</w:t>
            </w:r>
          </w:p>
        </w:tc>
      </w:tr>
    </w:tbl>
    <w:p w:rsidR="00DD3E2C" w:rsidRDefault="00DD3E2C" w:rsidP="00B551F4">
      <w:pPr>
        <w:jc w:val="left"/>
      </w:pPr>
      <w:r>
        <w:t xml:space="preserve"> </w:t>
      </w:r>
    </w:p>
    <w:sectPr w:rsidR="00DD3E2C" w:rsidSect="00B35265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46" w:rsidRDefault="00DF0A46" w:rsidP="00D04310">
      <w:r>
        <w:separator/>
      </w:r>
    </w:p>
  </w:endnote>
  <w:endnote w:type="continuationSeparator" w:id="0">
    <w:p w:rsidR="00DF0A46" w:rsidRDefault="00DF0A46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DF0A46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:rsidR="00DF0A46" w:rsidRPr="004677E7" w:rsidRDefault="008E1EB9" w:rsidP="007649D1">
          <w:pPr>
            <w:pStyle w:val="Footer"/>
            <w:jc w:val="left"/>
          </w:pPr>
          <w:r>
            <w:fldChar w:fldCharType="begin"/>
          </w:r>
          <w:r>
            <w:instrText xml:space="preserve"> REF _Ref358967577 \h </w:instrText>
          </w:r>
          <w:r>
            <w:fldChar w:fldCharType="separate"/>
          </w:r>
          <w:r w:rsidR="005A72A4">
            <w:t>Tutorial</w:t>
          </w:r>
          <w:r w:rsidR="005A72A4" w:rsidRPr="00BE4329">
            <w:t xml:space="preserve"> </w:t>
          </w:r>
          <w:r w:rsidR="005A72A4">
            <w:t>–</w:t>
          </w:r>
          <w:r w:rsidR="005A72A4" w:rsidRPr="00BE4329">
            <w:t xml:space="preserve"> </w:t>
          </w:r>
          <w:r w:rsidR="005A72A4">
            <w:t>How to prepare a table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:rsidR="00DF0A46" w:rsidRPr="00A610E2" w:rsidRDefault="00DF0A46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5A72A4" w:rsidRPr="005A72A4">
            <w:rPr>
              <w:bCs/>
              <w:noProof/>
              <w:color w:val="auto"/>
            </w:rPr>
            <w:t>2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:rsidR="00DF0A46" w:rsidRDefault="00DF0A46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46" w:rsidRDefault="00DF0A46" w:rsidP="00D04310">
      <w:r>
        <w:separator/>
      </w:r>
    </w:p>
  </w:footnote>
  <w:footnote w:type="continuationSeparator" w:id="0">
    <w:p w:rsidR="00DF0A46" w:rsidRDefault="00DF0A46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06C6B"/>
    <w:multiLevelType w:val="hybridMultilevel"/>
    <w:tmpl w:val="1EDC4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15"/>
  </w:num>
  <w:num w:numId="9">
    <w:abstractNumId w:val="21"/>
  </w:num>
  <w:num w:numId="10">
    <w:abstractNumId w:val="19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7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3016D"/>
    <w:rsid w:val="00030592"/>
    <w:rsid w:val="00035867"/>
    <w:rsid w:val="0004637E"/>
    <w:rsid w:val="00053B41"/>
    <w:rsid w:val="0006400C"/>
    <w:rsid w:val="00076985"/>
    <w:rsid w:val="00082F0B"/>
    <w:rsid w:val="00087D5B"/>
    <w:rsid w:val="0009587E"/>
    <w:rsid w:val="000978A1"/>
    <w:rsid w:val="000A1594"/>
    <w:rsid w:val="000A53F9"/>
    <w:rsid w:val="000B3373"/>
    <w:rsid w:val="000C1C03"/>
    <w:rsid w:val="000E55BE"/>
    <w:rsid w:val="000F0847"/>
    <w:rsid w:val="000F1D74"/>
    <w:rsid w:val="000F7D4C"/>
    <w:rsid w:val="001148D5"/>
    <w:rsid w:val="00117D70"/>
    <w:rsid w:val="00130007"/>
    <w:rsid w:val="00131250"/>
    <w:rsid w:val="00133383"/>
    <w:rsid w:val="00134554"/>
    <w:rsid w:val="00156A57"/>
    <w:rsid w:val="00160105"/>
    <w:rsid w:val="0016287D"/>
    <w:rsid w:val="00167BA7"/>
    <w:rsid w:val="00174962"/>
    <w:rsid w:val="001821B5"/>
    <w:rsid w:val="001A21B0"/>
    <w:rsid w:val="001A6E6F"/>
    <w:rsid w:val="001B5EC4"/>
    <w:rsid w:val="00210680"/>
    <w:rsid w:val="00217E54"/>
    <w:rsid w:val="00222807"/>
    <w:rsid w:val="002371B8"/>
    <w:rsid w:val="00244E47"/>
    <w:rsid w:val="002853C6"/>
    <w:rsid w:val="002903A6"/>
    <w:rsid w:val="0029709D"/>
    <w:rsid w:val="002A0537"/>
    <w:rsid w:val="002A51BC"/>
    <w:rsid w:val="002B3D31"/>
    <w:rsid w:val="002B56BF"/>
    <w:rsid w:val="002B56F6"/>
    <w:rsid w:val="002C39FD"/>
    <w:rsid w:val="002D1DCA"/>
    <w:rsid w:val="002D3C8A"/>
    <w:rsid w:val="002D73A6"/>
    <w:rsid w:val="002E290A"/>
    <w:rsid w:val="002E3CE5"/>
    <w:rsid w:val="002E5E27"/>
    <w:rsid w:val="002F1666"/>
    <w:rsid w:val="002F23E0"/>
    <w:rsid w:val="002F6683"/>
    <w:rsid w:val="00302795"/>
    <w:rsid w:val="0030300F"/>
    <w:rsid w:val="0031213E"/>
    <w:rsid w:val="003121A6"/>
    <w:rsid w:val="00314DA2"/>
    <w:rsid w:val="00317D38"/>
    <w:rsid w:val="00321AF5"/>
    <w:rsid w:val="003335E4"/>
    <w:rsid w:val="00336DED"/>
    <w:rsid w:val="00340B5C"/>
    <w:rsid w:val="00343D55"/>
    <w:rsid w:val="00346871"/>
    <w:rsid w:val="0035479B"/>
    <w:rsid w:val="00356D06"/>
    <w:rsid w:val="00361F92"/>
    <w:rsid w:val="00384283"/>
    <w:rsid w:val="00387032"/>
    <w:rsid w:val="00391DAF"/>
    <w:rsid w:val="0039511B"/>
    <w:rsid w:val="00397DF2"/>
    <w:rsid w:val="003A19D8"/>
    <w:rsid w:val="003A286F"/>
    <w:rsid w:val="003A70D2"/>
    <w:rsid w:val="003C15EF"/>
    <w:rsid w:val="003C3E64"/>
    <w:rsid w:val="003D0FBF"/>
    <w:rsid w:val="003D7ECA"/>
    <w:rsid w:val="003E23EB"/>
    <w:rsid w:val="004029FD"/>
    <w:rsid w:val="0040439E"/>
    <w:rsid w:val="00405D3C"/>
    <w:rsid w:val="0041734D"/>
    <w:rsid w:val="0043712C"/>
    <w:rsid w:val="00463AB9"/>
    <w:rsid w:val="00464636"/>
    <w:rsid w:val="00465B5A"/>
    <w:rsid w:val="00465F79"/>
    <w:rsid w:val="004677E7"/>
    <w:rsid w:val="00483D0B"/>
    <w:rsid w:val="00486C75"/>
    <w:rsid w:val="004936DA"/>
    <w:rsid w:val="00493BBA"/>
    <w:rsid w:val="004B2DA6"/>
    <w:rsid w:val="004E633D"/>
    <w:rsid w:val="004F7E5C"/>
    <w:rsid w:val="005167CE"/>
    <w:rsid w:val="0052422E"/>
    <w:rsid w:val="00536957"/>
    <w:rsid w:val="005413DE"/>
    <w:rsid w:val="00550682"/>
    <w:rsid w:val="00554189"/>
    <w:rsid w:val="00567637"/>
    <w:rsid w:val="00572269"/>
    <w:rsid w:val="0057442B"/>
    <w:rsid w:val="005749D9"/>
    <w:rsid w:val="00585FC3"/>
    <w:rsid w:val="00592093"/>
    <w:rsid w:val="00595404"/>
    <w:rsid w:val="00596045"/>
    <w:rsid w:val="005A128E"/>
    <w:rsid w:val="005A72A4"/>
    <w:rsid w:val="005B71E4"/>
    <w:rsid w:val="005C3BDB"/>
    <w:rsid w:val="005C54B4"/>
    <w:rsid w:val="005C6288"/>
    <w:rsid w:val="005D1097"/>
    <w:rsid w:val="005D20B1"/>
    <w:rsid w:val="005E6481"/>
    <w:rsid w:val="006024EA"/>
    <w:rsid w:val="00602AAD"/>
    <w:rsid w:val="0060350A"/>
    <w:rsid w:val="0060772A"/>
    <w:rsid w:val="006233D2"/>
    <w:rsid w:val="006516C1"/>
    <w:rsid w:val="006537A1"/>
    <w:rsid w:val="00662BAA"/>
    <w:rsid w:val="0066771A"/>
    <w:rsid w:val="00673FC5"/>
    <w:rsid w:val="00681EE3"/>
    <w:rsid w:val="00682C46"/>
    <w:rsid w:val="00693B4A"/>
    <w:rsid w:val="00694F97"/>
    <w:rsid w:val="0069541A"/>
    <w:rsid w:val="006A1F9E"/>
    <w:rsid w:val="006A222A"/>
    <w:rsid w:val="006B50B7"/>
    <w:rsid w:val="006D0E09"/>
    <w:rsid w:val="006D149F"/>
    <w:rsid w:val="006D59CB"/>
    <w:rsid w:val="006E565F"/>
    <w:rsid w:val="006F79D0"/>
    <w:rsid w:val="007243AA"/>
    <w:rsid w:val="00736A45"/>
    <w:rsid w:val="00745631"/>
    <w:rsid w:val="00745E2A"/>
    <w:rsid w:val="00747A75"/>
    <w:rsid w:val="007519A5"/>
    <w:rsid w:val="007649D1"/>
    <w:rsid w:val="00785812"/>
    <w:rsid w:val="00787434"/>
    <w:rsid w:val="007920D2"/>
    <w:rsid w:val="00797AB3"/>
    <w:rsid w:val="007A0E6C"/>
    <w:rsid w:val="007B387A"/>
    <w:rsid w:val="007B3AC0"/>
    <w:rsid w:val="007B6E4F"/>
    <w:rsid w:val="007C27B2"/>
    <w:rsid w:val="007C6740"/>
    <w:rsid w:val="007D0BA2"/>
    <w:rsid w:val="007E384D"/>
    <w:rsid w:val="007F73C2"/>
    <w:rsid w:val="0080111B"/>
    <w:rsid w:val="00803ED8"/>
    <w:rsid w:val="00805293"/>
    <w:rsid w:val="008065CD"/>
    <w:rsid w:val="00844204"/>
    <w:rsid w:val="00850008"/>
    <w:rsid w:val="00856FFB"/>
    <w:rsid w:val="0086010D"/>
    <w:rsid w:val="00892F5C"/>
    <w:rsid w:val="008A0654"/>
    <w:rsid w:val="008A0D57"/>
    <w:rsid w:val="008A3A4F"/>
    <w:rsid w:val="008D0C0D"/>
    <w:rsid w:val="008D4572"/>
    <w:rsid w:val="008E1EB9"/>
    <w:rsid w:val="008E6C03"/>
    <w:rsid w:val="009067EA"/>
    <w:rsid w:val="009075F9"/>
    <w:rsid w:val="00917164"/>
    <w:rsid w:val="00920170"/>
    <w:rsid w:val="009454C5"/>
    <w:rsid w:val="00945718"/>
    <w:rsid w:val="0094678A"/>
    <w:rsid w:val="00956486"/>
    <w:rsid w:val="00973A7F"/>
    <w:rsid w:val="00983CEB"/>
    <w:rsid w:val="009A5FB5"/>
    <w:rsid w:val="009B1C1E"/>
    <w:rsid w:val="009D287B"/>
    <w:rsid w:val="009E2F2A"/>
    <w:rsid w:val="009E6CE8"/>
    <w:rsid w:val="00A02EDA"/>
    <w:rsid w:val="00A113A2"/>
    <w:rsid w:val="00A145E7"/>
    <w:rsid w:val="00A22D24"/>
    <w:rsid w:val="00A30D9E"/>
    <w:rsid w:val="00A41371"/>
    <w:rsid w:val="00A431F3"/>
    <w:rsid w:val="00A56812"/>
    <w:rsid w:val="00A610E2"/>
    <w:rsid w:val="00A7060F"/>
    <w:rsid w:val="00A851F7"/>
    <w:rsid w:val="00A85465"/>
    <w:rsid w:val="00A92D08"/>
    <w:rsid w:val="00A95C7F"/>
    <w:rsid w:val="00A96014"/>
    <w:rsid w:val="00A9708A"/>
    <w:rsid w:val="00AB543B"/>
    <w:rsid w:val="00AC60B9"/>
    <w:rsid w:val="00AC7081"/>
    <w:rsid w:val="00AD0E8B"/>
    <w:rsid w:val="00AD186D"/>
    <w:rsid w:val="00AD74F9"/>
    <w:rsid w:val="00AE363C"/>
    <w:rsid w:val="00AE48ED"/>
    <w:rsid w:val="00AF24E4"/>
    <w:rsid w:val="00B01A99"/>
    <w:rsid w:val="00B0310A"/>
    <w:rsid w:val="00B06D66"/>
    <w:rsid w:val="00B12E53"/>
    <w:rsid w:val="00B161CF"/>
    <w:rsid w:val="00B323BF"/>
    <w:rsid w:val="00B35265"/>
    <w:rsid w:val="00B3539E"/>
    <w:rsid w:val="00B551F4"/>
    <w:rsid w:val="00B5790D"/>
    <w:rsid w:val="00B604EE"/>
    <w:rsid w:val="00B605B4"/>
    <w:rsid w:val="00B650FB"/>
    <w:rsid w:val="00B76594"/>
    <w:rsid w:val="00B82CA5"/>
    <w:rsid w:val="00B85956"/>
    <w:rsid w:val="00B952B7"/>
    <w:rsid w:val="00BA3011"/>
    <w:rsid w:val="00BA3EB8"/>
    <w:rsid w:val="00BA448B"/>
    <w:rsid w:val="00BC71ED"/>
    <w:rsid w:val="00BE4329"/>
    <w:rsid w:val="00BE4535"/>
    <w:rsid w:val="00BF17FA"/>
    <w:rsid w:val="00BF3A5B"/>
    <w:rsid w:val="00C03786"/>
    <w:rsid w:val="00C10996"/>
    <w:rsid w:val="00C11679"/>
    <w:rsid w:val="00C161FA"/>
    <w:rsid w:val="00C2139C"/>
    <w:rsid w:val="00C2290E"/>
    <w:rsid w:val="00C22A8F"/>
    <w:rsid w:val="00C261AE"/>
    <w:rsid w:val="00C32C8E"/>
    <w:rsid w:val="00C4766B"/>
    <w:rsid w:val="00C65221"/>
    <w:rsid w:val="00C70AC1"/>
    <w:rsid w:val="00C750E6"/>
    <w:rsid w:val="00C76669"/>
    <w:rsid w:val="00C82DF6"/>
    <w:rsid w:val="00C92E9B"/>
    <w:rsid w:val="00C93285"/>
    <w:rsid w:val="00CA2AB3"/>
    <w:rsid w:val="00CA5D26"/>
    <w:rsid w:val="00CA781C"/>
    <w:rsid w:val="00CB772C"/>
    <w:rsid w:val="00CC069B"/>
    <w:rsid w:val="00CC62AD"/>
    <w:rsid w:val="00CD6BEE"/>
    <w:rsid w:val="00CD7C91"/>
    <w:rsid w:val="00CF75AC"/>
    <w:rsid w:val="00D04310"/>
    <w:rsid w:val="00D12A1F"/>
    <w:rsid w:val="00D25166"/>
    <w:rsid w:val="00D408A4"/>
    <w:rsid w:val="00D40EF6"/>
    <w:rsid w:val="00D50054"/>
    <w:rsid w:val="00D6226C"/>
    <w:rsid w:val="00D64087"/>
    <w:rsid w:val="00D724C2"/>
    <w:rsid w:val="00D80E28"/>
    <w:rsid w:val="00D869D8"/>
    <w:rsid w:val="00D91E91"/>
    <w:rsid w:val="00D97688"/>
    <w:rsid w:val="00DB7419"/>
    <w:rsid w:val="00DD1E5C"/>
    <w:rsid w:val="00DD3E2C"/>
    <w:rsid w:val="00DD54BE"/>
    <w:rsid w:val="00DE3528"/>
    <w:rsid w:val="00DE7853"/>
    <w:rsid w:val="00DF0A46"/>
    <w:rsid w:val="00DF2A9D"/>
    <w:rsid w:val="00DF55AC"/>
    <w:rsid w:val="00E05C7C"/>
    <w:rsid w:val="00E06987"/>
    <w:rsid w:val="00E16B19"/>
    <w:rsid w:val="00E34325"/>
    <w:rsid w:val="00E347D9"/>
    <w:rsid w:val="00E40AFE"/>
    <w:rsid w:val="00E51FCE"/>
    <w:rsid w:val="00E577E1"/>
    <w:rsid w:val="00E647D1"/>
    <w:rsid w:val="00E77A75"/>
    <w:rsid w:val="00E8566F"/>
    <w:rsid w:val="00EB5551"/>
    <w:rsid w:val="00EE7438"/>
    <w:rsid w:val="00EF1CAA"/>
    <w:rsid w:val="00F21923"/>
    <w:rsid w:val="00F30EB9"/>
    <w:rsid w:val="00F31672"/>
    <w:rsid w:val="00F37EB2"/>
    <w:rsid w:val="00F4721F"/>
    <w:rsid w:val="00F51112"/>
    <w:rsid w:val="00F52DB1"/>
    <w:rsid w:val="00F64489"/>
    <w:rsid w:val="00F64AB4"/>
    <w:rsid w:val="00F66761"/>
    <w:rsid w:val="00F66AB1"/>
    <w:rsid w:val="00F67D4E"/>
    <w:rsid w:val="00F71FA5"/>
    <w:rsid w:val="00F81D04"/>
    <w:rsid w:val="00F9664F"/>
    <w:rsid w:val="00F968F6"/>
    <w:rsid w:val="00F978DE"/>
    <w:rsid w:val="00FE1F66"/>
    <w:rsid w:val="00FE2C8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4E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105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24E4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0105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4E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105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24E4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0105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DD9E-7720-4E86-952C-84BB56A9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mcadieux</cp:lastModifiedBy>
  <cp:revision>217</cp:revision>
  <cp:lastPrinted>2014-04-25T19:28:00Z</cp:lastPrinted>
  <dcterms:created xsi:type="dcterms:W3CDTF">2013-06-10T16:57:00Z</dcterms:created>
  <dcterms:modified xsi:type="dcterms:W3CDTF">2014-04-25T19:28:00Z</dcterms:modified>
</cp:coreProperties>
</file>