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823D4" w14:textId="77777777" w:rsidR="00BE4329" w:rsidRDefault="00B35265" w:rsidP="00F64489">
      <w:pPr>
        <w:pStyle w:val="Heading1"/>
      </w:pPr>
      <w:bookmarkStart w:id="0" w:name="_Ref358291343"/>
      <w:bookmarkStart w:id="1" w:name="_Ref358632470"/>
      <w:bookmarkStart w:id="2" w:name="_Ref358967577"/>
      <w:bookmarkStart w:id="3" w:name="_Toc359404982"/>
      <w:bookmarkStart w:id="4" w:name="_Toc359405015"/>
      <w:bookmarkStart w:id="5" w:name="_Toc381600950"/>
      <w:r>
        <w:t>Tutorial</w:t>
      </w:r>
      <w:r w:rsidR="00082F0B" w:rsidRPr="00BE4329">
        <w:t xml:space="preserve"> </w:t>
      </w:r>
      <w:r w:rsidR="00602AAD">
        <w:t>–</w:t>
      </w:r>
      <w:r w:rsidR="00082F0B" w:rsidRPr="00BE4329">
        <w:t xml:space="preserve"> </w:t>
      </w:r>
      <w:bookmarkEnd w:id="0"/>
      <w:bookmarkEnd w:id="1"/>
      <w:r w:rsidR="00DF30DE">
        <w:t>Experimental errors</w:t>
      </w:r>
      <w:bookmarkEnd w:id="2"/>
      <w:bookmarkEnd w:id="3"/>
      <w:bookmarkEnd w:id="4"/>
      <w:bookmarkEnd w:id="5"/>
      <w:r w:rsidR="00A30D9E" w:rsidRPr="00BE4329">
        <w:t xml:space="preserve"> </w:t>
      </w:r>
    </w:p>
    <w:p w14:paraId="422823D5" w14:textId="77777777" w:rsidR="00E54503" w:rsidRDefault="00AB4A0B" w:rsidP="00977B6F">
      <w:pPr>
        <w:pStyle w:val="Heading2"/>
        <w:rPr>
          <w:noProof/>
        </w:rPr>
      </w:pPr>
      <w:bookmarkStart w:id="6" w:name="_Toc359404983"/>
      <w:bookmarkStart w:id="7" w:name="_Toc359405016"/>
      <w:bookmarkStart w:id="8" w:name="_Toc381600951"/>
      <w:r w:rsidRPr="00977B6F">
        <w:t>Content</w:t>
      </w:r>
      <w:bookmarkEnd w:id="6"/>
      <w:bookmarkEnd w:id="7"/>
      <w:bookmarkEnd w:id="8"/>
      <w:r w:rsidR="00506E14">
        <w:fldChar w:fldCharType="begin"/>
      </w:r>
      <w:r w:rsidR="00506E14">
        <w:instrText xml:space="preserve"> TOC \o "1-2" \h \z \u </w:instrText>
      </w:r>
      <w:r w:rsidR="00506E14">
        <w:fldChar w:fldCharType="separate"/>
      </w:r>
    </w:p>
    <w:p w14:paraId="422823D6" w14:textId="77777777" w:rsidR="00E54503" w:rsidRDefault="005B7474">
      <w:pPr>
        <w:pStyle w:val="TOC1"/>
        <w:tabs>
          <w:tab w:val="right" w:leader="dot" w:pos="9350"/>
        </w:tabs>
        <w:rPr>
          <w:rFonts w:eastAsiaTheme="minorEastAsia" w:cstheme="minorBidi"/>
          <w:noProof/>
          <w:color w:val="auto"/>
          <w:sz w:val="22"/>
          <w:szCs w:val="22"/>
          <w:lang w:eastAsia="en-CA"/>
        </w:rPr>
      </w:pPr>
      <w:hyperlink w:anchor="_Toc381600950" w:history="1">
        <w:r w:rsidR="00E54503" w:rsidRPr="001039DB">
          <w:rPr>
            <w:rStyle w:val="Hyperlink"/>
            <w:noProof/>
          </w:rPr>
          <w:t>Tutorial – Experimental errors</w:t>
        </w:r>
        <w:r w:rsidR="00E54503">
          <w:rPr>
            <w:noProof/>
            <w:webHidden/>
          </w:rPr>
          <w:tab/>
        </w:r>
        <w:r w:rsidR="00E54503">
          <w:rPr>
            <w:noProof/>
            <w:webHidden/>
          </w:rPr>
          <w:fldChar w:fldCharType="begin"/>
        </w:r>
        <w:r w:rsidR="00E54503">
          <w:rPr>
            <w:noProof/>
            <w:webHidden/>
          </w:rPr>
          <w:instrText xml:space="preserve"> PAGEREF _Toc381600950 \h </w:instrText>
        </w:r>
        <w:r w:rsidR="00E54503">
          <w:rPr>
            <w:noProof/>
            <w:webHidden/>
          </w:rPr>
        </w:r>
        <w:r w:rsidR="00E54503">
          <w:rPr>
            <w:noProof/>
            <w:webHidden/>
          </w:rPr>
          <w:fldChar w:fldCharType="separate"/>
        </w:r>
        <w:r>
          <w:rPr>
            <w:noProof/>
            <w:webHidden/>
          </w:rPr>
          <w:t>1</w:t>
        </w:r>
        <w:r w:rsidR="00E54503">
          <w:rPr>
            <w:noProof/>
            <w:webHidden/>
          </w:rPr>
          <w:fldChar w:fldCharType="end"/>
        </w:r>
      </w:hyperlink>
    </w:p>
    <w:p w14:paraId="422823D7"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1" w:history="1">
        <w:r w:rsidR="00E54503" w:rsidRPr="001039DB">
          <w:rPr>
            <w:rStyle w:val="Hyperlink"/>
            <w:noProof/>
          </w:rPr>
          <w:t>Content</w:t>
        </w:r>
        <w:r w:rsidR="00E54503">
          <w:rPr>
            <w:noProof/>
            <w:webHidden/>
          </w:rPr>
          <w:tab/>
        </w:r>
        <w:r w:rsidR="00E54503">
          <w:rPr>
            <w:noProof/>
            <w:webHidden/>
          </w:rPr>
          <w:fldChar w:fldCharType="begin"/>
        </w:r>
        <w:r w:rsidR="00E54503">
          <w:rPr>
            <w:noProof/>
            <w:webHidden/>
          </w:rPr>
          <w:instrText xml:space="preserve"> PAGEREF _Toc381600951 \h </w:instrText>
        </w:r>
        <w:r w:rsidR="00E54503">
          <w:rPr>
            <w:noProof/>
            <w:webHidden/>
          </w:rPr>
        </w:r>
        <w:r w:rsidR="00E54503">
          <w:rPr>
            <w:noProof/>
            <w:webHidden/>
          </w:rPr>
          <w:fldChar w:fldCharType="separate"/>
        </w:r>
        <w:r>
          <w:rPr>
            <w:noProof/>
            <w:webHidden/>
          </w:rPr>
          <w:t>1</w:t>
        </w:r>
        <w:r w:rsidR="00E54503">
          <w:rPr>
            <w:noProof/>
            <w:webHidden/>
          </w:rPr>
          <w:fldChar w:fldCharType="end"/>
        </w:r>
      </w:hyperlink>
    </w:p>
    <w:p w14:paraId="422823D8"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2" w:history="1">
        <w:r w:rsidR="00E54503" w:rsidRPr="001039DB">
          <w:rPr>
            <w:rStyle w:val="Hyperlink"/>
            <w:noProof/>
          </w:rPr>
          <w:t>Precision vs. Accuracy</w:t>
        </w:r>
        <w:r w:rsidR="00E54503">
          <w:rPr>
            <w:noProof/>
            <w:webHidden/>
          </w:rPr>
          <w:tab/>
        </w:r>
        <w:r w:rsidR="00E54503">
          <w:rPr>
            <w:noProof/>
            <w:webHidden/>
          </w:rPr>
          <w:fldChar w:fldCharType="begin"/>
        </w:r>
        <w:r w:rsidR="00E54503">
          <w:rPr>
            <w:noProof/>
            <w:webHidden/>
          </w:rPr>
          <w:instrText xml:space="preserve"> PAGEREF _Toc381600952 \h </w:instrText>
        </w:r>
        <w:r w:rsidR="00E54503">
          <w:rPr>
            <w:noProof/>
            <w:webHidden/>
          </w:rPr>
        </w:r>
        <w:r w:rsidR="00E54503">
          <w:rPr>
            <w:noProof/>
            <w:webHidden/>
          </w:rPr>
          <w:fldChar w:fldCharType="separate"/>
        </w:r>
        <w:r>
          <w:rPr>
            <w:noProof/>
            <w:webHidden/>
          </w:rPr>
          <w:t>1</w:t>
        </w:r>
        <w:r w:rsidR="00E54503">
          <w:rPr>
            <w:noProof/>
            <w:webHidden/>
          </w:rPr>
          <w:fldChar w:fldCharType="end"/>
        </w:r>
      </w:hyperlink>
    </w:p>
    <w:p w14:paraId="422823D9"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3" w:history="1">
        <w:r w:rsidR="00E54503" w:rsidRPr="001039DB">
          <w:rPr>
            <w:rStyle w:val="Hyperlink"/>
            <w:noProof/>
          </w:rPr>
          <w:t>Types of Errors</w:t>
        </w:r>
        <w:r w:rsidR="00E54503">
          <w:rPr>
            <w:noProof/>
            <w:webHidden/>
          </w:rPr>
          <w:tab/>
        </w:r>
        <w:r w:rsidR="00E54503">
          <w:rPr>
            <w:noProof/>
            <w:webHidden/>
          </w:rPr>
          <w:fldChar w:fldCharType="begin"/>
        </w:r>
        <w:r w:rsidR="00E54503">
          <w:rPr>
            <w:noProof/>
            <w:webHidden/>
          </w:rPr>
          <w:instrText xml:space="preserve"> PAGEREF _Toc381600953 \h </w:instrText>
        </w:r>
        <w:r w:rsidR="00E54503">
          <w:rPr>
            <w:noProof/>
            <w:webHidden/>
          </w:rPr>
        </w:r>
        <w:r w:rsidR="00E54503">
          <w:rPr>
            <w:noProof/>
            <w:webHidden/>
          </w:rPr>
          <w:fldChar w:fldCharType="separate"/>
        </w:r>
        <w:r>
          <w:rPr>
            <w:noProof/>
            <w:webHidden/>
          </w:rPr>
          <w:t>2</w:t>
        </w:r>
        <w:r w:rsidR="00E54503">
          <w:rPr>
            <w:noProof/>
            <w:webHidden/>
          </w:rPr>
          <w:fldChar w:fldCharType="end"/>
        </w:r>
      </w:hyperlink>
    </w:p>
    <w:p w14:paraId="422823DA"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4" w:history="1">
        <w:r w:rsidR="00E54503" w:rsidRPr="001039DB">
          <w:rPr>
            <w:rStyle w:val="Hyperlink"/>
            <w:noProof/>
          </w:rPr>
          <w:t>Statement of a measurement</w:t>
        </w:r>
        <w:r w:rsidR="00E54503">
          <w:rPr>
            <w:noProof/>
            <w:webHidden/>
          </w:rPr>
          <w:tab/>
        </w:r>
        <w:r w:rsidR="00E54503">
          <w:rPr>
            <w:noProof/>
            <w:webHidden/>
          </w:rPr>
          <w:fldChar w:fldCharType="begin"/>
        </w:r>
        <w:r w:rsidR="00E54503">
          <w:rPr>
            <w:noProof/>
            <w:webHidden/>
          </w:rPr>
          <w:instrText xml:space="preserve"> PAGEREF _Toc381600954 \h </w:instrText>
        </w:r>
        <w:r w:rsidR="00E54503">
          <w:rPr>
            <w:noProof/>
            <w:webHidden/>
          </w:rPr>
        </w:r>
        <w:r w:rsidR="00E54503">
          <w:rPr>
            <w:noProof/>
            <w:webHidden/>
          </w:rPr>
          <w:fldChar w:fldCharType="separate"/>
        </w:r>
        <w:r>
          <w:rPr>
            <w:noProof/>
            <w:webHidden/>
          </w:rPr>
          <w:t>3</w:t>
        </w:r>
        <w:r w:rsidR="00E54503">
          <w:rPr>
            <w:noProof/>
            <w:webHidden/>
          </w:rPr>
          <w:fldChar w:fldCharType="end"/>
        </w:r>
      </w:hyperlink>
    </w:p>
    <w:p w14:paraId="422823DB"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5" w:history="1">
        <w:r w:rsidR="00E54503" w:rsidRPr="001039DB">
          <w:rPr>
            <w:rStyle w:val="Hyperlink"/>
            <w:noProof/>
          </w:rPr>
          <w:t>Quantitative comparisons</w:t>
        </w:r>
        <w:r w:rsidR="00E54503">
          <w:rPr>
            <w:noProof/>
            <w:webHidden/>
          </w:rPr>
          <w:tab/>
        </w:r>
        <w:r w:rsidR="00E54503">
          <w:rPr>
            <w:noProof/>
            <w:webHidden/>
          </w:rPr>
          <w:fldChar w:fldCharType="begin"/>
        </w:r>
        <w:r w:rsidR="00E54503">
          <w:rPr>
            <w:noProof/>
            <w:webHidden/>
          </w:rPr>
          <w:instrText xml:space="preserve"> PAGEREF _Toc381600955 \h </w:instrText>
        </w:r>
        <w:r w:rsidR="00E54503">
          <w:rPr>
            <w:noProof/>
            <w:webHidden/>
          </w:rPr>
        </w:r>
        <w:r w:rsidR="00E54503">
          <w:rPr>
            <w:noProof/>
            <w:webHidden/>
          </w:rPr>
          <w:fldChar w:fldCharType="separate"/>
        </w:r>
        <w:r>
          <w:rPr>
            <w:noProof/>
            <w:webHidden/>
          </w:rPr>
          <w:t>4</w:t>
        </w:r>
        <w:r w:rsidR="00E54503">
          <w:rPr>
            <w:noProof/>
            <w:webHidden/>
          </w:rPr>
          <w:fldChar w:fldCharType="end"/>
        </w:r>
      </w:hyperlink>
    </w:p>
    <w:p w14:paraId="422823DC"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6" w:history="1">
        <w:r w:rsidR="00E54503" w:rsidRPr="001039DB">
          <w:rPr>
            <w:rStyle w:val="Hyperlink"/>
            <w:noProof/>
          </w:rPr>
          <w:t>Significant figures</w:t>
        </w:r>
        <w:r w:rsidR="00E54503">
          <w:rPr>
            <w:noProof/>
            <w:webHidden/>
          </w:rPr>
          <w:tab/>
        </w:r>
        <w:r w:rsidR="00E54503">
          <w:rPr>
            <w:noProof/>
            <w:webHidden/>
          </w:rPr>
          <w:fldChar w:fldCharType="begin"/>
        </w:r>
        <w:r w:rsidR="00E54503">
          <w:rPr>
            <w:noProof/>
            <w:webHidden/>
          </w:rPr>
          <w:instrText xml:space="preserve"> PAGEREF _Toc381600956 \h </w:instrText>
        </w:r>
        <w:r w:rsidR="00E54503">
          <w:rPr>
            <w:noProof/>
            <w:webHidden/>
          </w:rPr>
        </w:r>
        <w:r w:rsidR="00E54503">
          <w:rPr>
            <w:noProof/>
            <w:webHidden/>
          </w:rPr>
          <w:fldChar w:fldCharType="separate"/>
        </w:r>
        <w:r>
          <w:rPr>
            <w:noProof/>
            <w:webHidden/>
          </w:rPr>
          <w:t>5</w:t>
        </w:r>
        <w:r w:rsidR="00E54503">
          <w:rPr>
            <w:noProof/>
            <w:webHidden/>
          </w:rPr>
          <w:fldChar w:fldCharType="end"/>
        </w:r>
      </w:hyperlink>
    </w:p>
    <w:p w14:paraId="422823DD" w14:textId="77777777" w:rsidR="00E54503" w:rsidRDefault="005B7474">
      <w:pPr>
        <w:pStyle w:val="TOC2"/>
        <w:tabs>
          <w:tab w:val="right" w:leader="dot" w:pos="9350"/>
        </w:tabs>
        <w:rPr>
          <w:rFonts w:eastAsiaTheme="minorEastAsia" w:cstheme="minorBidi"/>
          <w:noProof/>
          <w:color w:val="auto"/>
          <w:sz w:val="22"/>
          <w:szCs w:val="22"/>
          <w:lang w:eastAsia="en-CA"/>
        </w:rPr>
      </w:pPr>
      <w:hyperlink w:anchor="_Toc381600957" w:history="1">
        <w:r w:rsidR="00E54503" w:rsidRPr="001039DB">
          <w:rPr>
            <w:rStyle w:val="Hyperlink"/>
            <w:noProof/>
          </w:rPr>
          <w:t>Precision of errors</w:t>
        </w:r>
        <w:r w:rsidR="00E54503">
          <w:rPr>
            <w:noProof/>
            <w:webHidden/>
          </w:rPr>
          <w:tab/>
        </w:r>
        <w:r w:rsidR="00E54503">
          <w:rPr>
            <w:noProof/>
            <w:webHidden/>
          </w:rPr>
          <w:fldChar w:fldCharType="begin"/>
        </w:r>
        <w:r w:rsidR="00E54503">
          <w:rPr>
            <w:noProof/>
            <w:webHidden/>
          </w:rPr>
          <w:instrText xml:space="preserve"> PAGEREF _Toc381600957 \h </w:instrText>
        </w:r>
        <w:r w:rsidR="00E54503">
          <w:rPr>
            <w:noProof/>
            <w:webHidden/>
          </w:rPr>
        </w:r>
        <w:r w:rsidR="00E54503">
          <w:rPr>
            <w:noProof/>
            <w:webHidden/>
          </w:rPr>
          <w:fldChar w:fldCharType="separate"/>
        </w:r>
        <w:r>
          <w:rPr>
            <w:noProof/>
            <w:webHidden/>
          </w:rPr>
          <w:t>6</w:t>
        </w:r>
        <w:r w:rsidR="00E54503">
          <w:rPr>
            <w:noProof/>
            <w:webHidden/>
          </w:rPr>
          <w:fldChar w:fldCharType="end"/>
        </w:r>
      </w:hyperlink>
    </w:p>
    <w:p w14:paraId="422823DE" w14:textId="77777777" w:rsidR="005474EB" w:rsidRDefault="00506E14" w:rsidP="00977B6F">
      <w:pPr>
        <w:pStyle w:val="Heading2"/>
      </w:pPr>
      <w:r>
        <w:rPr>
          <w:color w:val="000000"/>
          <w:sz w:val="20"/>
          <w:szCs w:val="20"/>
        </w:rPr>
        <w:fldChar w:fldCharType="end"/>
      </w:r>
      <w:bookmarkStart w:id="9" w:name="_Toc381600952"/>
      <w:r w:rsidR="00AD02A4">
        <w:rPr>
          <w:color w:val="000000"/>
          <w:sz w:val="20"/>
          <w:szCs w:val="20"/>
        </w:rPr>
        <w:br/>
      </w:r>
      <w:r w:rsidR="005474EB">
        <w:t>Precision vs. Accuracy</w:t>
      </w:r>
      <w:bookmarkEnd w:id="9"/>
    </w:p>
    <w:p w14:paraId="422823DF" w14:textId="77777777" w:rsidR="005474EB" w:rsidRDefault="005474EB" w:rsidP="005474EB">
      <w:r>
        <w:t xml:space="preserve">In ordinary conversation we tend to use the terms accuracy and precision interchangeably, but in the context of scientific measurement, they give very different meanings. They are actually two different ways of expressing the uncertainty of experimental data. </w:t>
      </w:r>
    </w:p>
    <w:p w14:paraId="422823E0" w14:textId="77777777" w:rsidR="003A02F0" w:rsidRDefault="003A02F0" w:rsidP="003A02F0"/>
    <w:p w14:paraId="422823E1" w14:textId="77777777" w:rsidR="003A02F0" w:rsidRDefault="005474EB" w:rsidP="003A02F0">
      <w:pPr>
        <w:tabs>
          <w:tab w:val="left" w:pos="993"/>
        </w:tabs>
        <w:ind w:left="993" w:hanging="993"/>
        <w:jc w:val="left"/>
        <w:rPr>
          <w:b/>
        </w:rPr>
      </w:pPr>
      <w:r w:rsidRPr="003A02F0">
        <w:rPr>
          <w:b/>
        </w:rPr>
        <w:t>Accuracy</w:t>
      </w:r>
      <w:r w:rsidR="003A02F0">
        <w:rPr>
          <w:b/>
        </w:rPr>
        <w:t xml:space="preserve">: </w:t>
      </w:r>
      <w:r w:rsidR="003A02F0">
        <w:rPr>
          <w:b/>
        </w:rPr>
        <w:tab/>
      </w:r>
      <w:r>
        <w:t>Refers how closely a measured value of a qu</w:t>
      </w:r>
      <w:r w:rsidR="003A02F0">
        <w:t xml:space="preserve">antity corresponds to its </w:t>
      </w:r>
      <w:r w:rsidR="003A02F0" w:rsidRPr="003A02F0">
        <w:rPr>
          <w:i/>
        </w:rPr>
        <w:t>true</w:t>
      </w:r>
      <w:r>
        <w:t xml:space="preserve"> value.</w:t>
      </w:r>
      <w:r w:rsidR="003A02F0">
        <w:rPr>
          <w:b/>
        </w:rPr>
        <w:br/>
      </w:r>
    </w:p>
    <w:p w14:paraId="422823E2" w14:textId="77777777" w:rsidR="003A02F0" w:rsidRDefault="003A02F0" w:rsidP="003A02F0">
      <w:pPr>
        <w:tabs>
          <w:tab w:val="left" w:pos="993"/>
        </w:tabs>
        <w:ind w:left="993" w:hanging="993"/>
        <w:jc w:val="left"/>
      </w:pPr>
      <w:r>
        <w:rPr>
          <w:b/>
        </w:rPr>
        <w:t xml:space="preserve">Precision: </w:t>
      </w:r>
      <w:r>
        <w:rPr>
          <w:b/>
        </w:rPr>
        <w:tab/>
      </w:r>
      <w:r w:rsidR="005474EB">
        <w:t>Expresses the degree of reproducibility of a result when the experiment is repeated under the same conditio</w:t>
      </w:r>
      <w:r>
        <w:t xml:space="preserve">ns. In other words </w:t>
      </w:r>
      <w:r w:rsidRPr="003A02F0">
        <w:rPr>
          <w:i/>
        </w:rPr>
        <w:t>precision</w:t>
      </w:r>
      <w:r w:rsidR="005474EB">
        <w:t xml:space="preserve"> refers to how closely individual measurements agree with each other.</w:t>
      </w:r>
      <w:r>
        <w:t xml:space="preserve"> </w:t>
      </w:r>
    </w:p>
    <w:p w14:paraId="422823E3" w14:textId="77777777" w:rsidR="003A02F0" w:rsidRPr="003A02F0" w:rsidRDefault="003A02F0" w:rsidP="003A02F0">
      <w:pPr>
        <w:tabs>
          <w:tab w:val="left" w:pos="993"/>
        </w:tabs>
        <w:ind w:left="993" w:hanging="993"/>
        <w:jc w:val="left"/>
      </w:pPr>
    </w:p>
    <w:p w14:paraId="422823E4" w14:textId="77777777" w:rsidR="009612F4" w:rsidRDefault="009612F4" w:rsidP="00E609A7">
      <w:pPr>
        <w:pStyle w:val="Important"/>
      </w:pPr>
      <w:r w:rsidRPr="009612F4">
        <w:sym w:font="Wingdings" w:char="F0D8"/>
      </w:r>
      <w:r w:rsidR="00C74CEA">
        <w:tab/>
      </w:r>
      <w:r w:rsidR="005474EB" w:rsidRPr="009612F4">
        <w:t>A result can be measured prec</w:t>
      </w:r>
      <w:r w:rsidR="003A02F0" w:rsidRPr="009612F4">
        <w:t xml:space="preserve">isely yet still be inaccurate. </w:t>
      </w:r>
    </w:p>
    <w:p w14:paraId="422823E5" w14:textId="77777777" w:rsidR="005474EB" w:rsidRDefault="009612F4" w:rsidP="00E609A7">
      <w:pPr>
        <w:pStyle w:val="Important"/>
      </w:pPr>
      <w:r w:rsidRPr="009612F4">
        <w:sym w:font="Wingdings" w:char="F0D8"/>
      </w:r>
      <w:r w:rsidR="00C74CEA">
        <w:tab/>
      </w:r>
      <w:r w:rsidR="005474EB" w:rsidRPr="009612F4">
        <w:t>An imprecise result can be accurate.</w:t>
      </w:r>
      <w:r w:rsidR="003A02F0" w:rsidRPr="009612F4">
        <w:t xml:space="preserve">  </w:t>
      </w:r>
    </w:p>
    <w:p w14:paraId="422823E6" w14:textId="77777777" w:rsidR="005474EB" w:rsidRDefault="003A02F0" w:rsidP="005474EB">
      <w:r>
        <w:t xml:space="preserve"> </w:t>
      </w:r>
    </w:p>
    <w:p w14:paraId="422823E7" w14:textId="77777777" w:rsidR="005474EB" w:rsidRDefault="005474EB" w:rsidP="005474EB">
      <w:r>
        <w:t xml:space="preserve">In order to better understand the difference between accuracy and precision, let us take the example of an archer shooting a total of thirteen arrows at </w:t>
      </w:r>
      <w:r w:rsidR="003A02F0">
        <w:t>a target.</w:t>
      </w:r>
      <w:r>
        <w:t xml:space="preserve"> From the archer’</w:t>
      </w:r>
      <w:r w:rsidR="003A02F0">
        <w:t>s first results (shown in</w:t>
      </w:r>
      <w:r w:rsidR="00AB5611">
        <w:t xml:space="preserve"> </w:t>
      </w:r>
      <w:r w:rsidR="00AB5611" w:rsidRPr="00AB5611">
        <w:rPr>
          <w:rStyle w:val="CrossRefChar"/>
          <w:highlight w:val="yellow"/>
        </w:rPr>
        <w:fldChar w:fldCharType="begin"/>
      </w:r>
      <w:r w:rsidR="00AB5611" w:rsidRPr="00AB5611">
        <w:rPr>
          <w:rStyle w:val="CrossRefChar"/>
        </w:rPr>
        <w:instrText xml:space="preserve"> REF _Ref359400438 \h </w:instrText>
      </w:r>
      <w:r w:rsidR="00AB5611">
        <w:rPr>
          <w:rStyle w:val="CrossRefChar"/>
          <w:highlight w:val="yellow"/>
        </w:rPr>
        <w:instrText xml:space="preserve"> \* MERGEFORMAT </w:instrText>
      </w:r>
      <w:r w:rsidR="00AB5611" w:rsidRPr="00AB5611">
        <w:rPr>
          <w:rStyle w:val="CrossRefChar"/>
          <w:highlight w:val="yellow"/>
        </w:rPr>
      </w:r>
      <w:r w:rsidR="00AB5611" w:rsidRPr="00AB5611">
        <w:rPr>
          <w:rStyle w:val="CrossRefChar"/>
          <w:highlight w:val="yellow"/>
        </w:rPr>
        <w:fldChar w:fldCharType="separate"/>
      </w:r>
      <w:r w:rsidR="005B7474" w:rsidRPr="005B7474">
        <w:rPr>
          <w:rStyle w:val="CrossRefChar"/>
        </w:rPr>
        <w:t>Figure 1</w:t>
      </w:r>
      <w:r w:rsidR="00AB5611" w:rsidRPr="00AB5611">
        <w:rPr>
          <w:rStyle w:val="CrossRefChar"/>
          <w:highlight w:val="yellow"/>
        </w:rPr>
        <w:fldChar w:fldCharType="end"/>
      </w:r>
      <w:r w:rsidR="00AB5611" w:rsidRPr="00AB5611">
        <w:rPr>
          <w:rStyle w:val="CrossRefChar"/>
        </w:rPr>
        <w:t>a</w:t>
      </w:r>
      <w:r>
        <w:t xml:space="preserve">), we can conclude that on average the archer is accurate but no precise since all the arrows have a large deviation with respect to each other.  </w:t>
      </w:r>
    </w:p>
    <w:p w14:paraId="422823E8" w14:textId="77777777" w:rsidR="008B4B1B" w:rsidRDefault="008B4B1B" w:rsidP="005474EB"/>
    <w:p w14:paraId="422823E9" w14:textId="77777777" w:rsidR="005474EB" w:rsidRDefault="005474EB" w:rsidP="005474EB">
      <w:r>
        <w:t xml:space="preserve">Several months before the next competition the archer has went </w:t>
      </w:r>
      <w:r w:rsidR="00BE604C">
        <w:t>through</w:t>
      </w:r>
      <w:r>
        <w:t xml:space="preserve"> rigorous training and </w:t>
      </w:r>
      <w:r w:rsidR="00BE604C">
        <w:t>have</w:t>
      </w:r>
      <w:r>
        <w:t xml:space="preserve"> increased </w:t>
      </w:r>
      <w:r w:rsidR="00BE604C">
        <w:t xml:space="preserve">his precision considerably. </w:t>
      </w:r>
      <w:r>
        <w:t>During a practice session on the eve of her second competition, the archer calibrates the sights on her bow and hits the bull’s-eye of the target 10 of 13 times.</w:t>
      </w:r>
      <w:r w:rsidR="00BE604C">
        <w:t xml:space="preserve"> </w:t>
      </w:r>
      <w:r>
        <w:t xml:space="preserve">The morning of the competition the wind conditions have changed; due to her lack of experience the archer fails to readjust (or recalibrate) the sights on her bow to </w:t>
      </w:r>
      <w:r w:rsidR="00BE604C">
        <w:t>compensate for the wind factor.</w:t>
      </w:r>
      <w:r>
        <w:t xml:space="preserve"> Her arrows end up hitting a localized region in the top left-hand corner of the target (see </w:t>
      </w:r>
      <w:r w:rsidR="00AB5611" w:rsidRPr="00AB5611">
        <w:rPr>
          <w:rStyle w:val="CrossRefChar"/>
          <w:highlight w:val="yellow"/>
        </w:rPr>
        <w:fldChar w:fldCharType="begin"/>
      </w:r>
      <w:r w:rsidR="00AB5611" w:rsidRPr="00AB5611">
        <w:rPr>
          <w:rStyle w:val="CrossRefChar"/>
        </w:rPr>
        <w:instrText xml:space="preserve"> REF _Ref359400438 \h </w:instrText>
      </w:r>
      <w:r w:rsidR="00AB5611">
        <w:rPr>
          <w:rStyle w:val="CrossRefChar"/>
          <w:highlight w:val="yellow"/>
        </w:rPr>
        <w:instrText xml:space="preserve"> \* MERGEFORMAT </w:instrText>
      </w:r>
      <w:r w:rsidR="00AB5611" w:rsidRPr="00AB5611">
        <w:rPr>
          <w:rStyle w:val="CrossRefChar"/>
          <w:highlight w:val="yellow"/>
        </w:rPr>
      </w:r>
      <w:r w:rsidR="00AB5611" w:rsidRPr="00AB5611">
        <w:rPr>
          <w:rStyle w:val="CrossRefChar"/>
          <w:highlight w:val="yellow"/>
        </w:rPr>
        <w:fldChar w:fldCharType="separate"/>
      </w:r>
      <w:r w:rsidR="005B7474" w:rsidRPr="005B7474">
        <w:rPr>
          <w:rStyle w:val="CrossRefChar"/>
        </w:rPr>
        <w:t>Figure 1</w:t>
      </w:r>
      <w:r w:rsidR="00AB5611" w:rsidRPr="00AB5611">
        <w:rPr>
          <w:rStyle w:val="CrossRefChar"/>
          <w:highlight w:val="yellow"/>
        </w:rPr>
        <w:fldChar w:fldCharType="end"/>
      </w:r>
      <w:r w:rsidR="00AB5611">
        <w:rPr>
          <w:rStyle w:val="CrossRefChar"/>
        </w:rPr>
        <w:t>b</w:t>
      </w:r>
      <w:r w:rsidR="00E508DA">
        <w:t>)</w:t>
      </w:r>
      <w:r w:rsidR="00BE604C">
        <w:t xml:space="preserve">. </w:t>
      </w:r>
      <w:r>
        <w:t>The results show an improvement in precision relative to her first competition, but unfortunately her shots are all inaccurate.</w:t>
      </w:r>
    </w:p>
    <w:p w14:paraId="422823EA" w14:textId="77777777" w:rsidR="003A02F0" w:rsidRDefault="003A02F0" w:rsidP="005474EB"/>
    <w:p w14:paraId="422823EB" w14:textId="77777777" w:rsidR="005474EB" w:rsidRDefault="005474EB" w:rsidP="005474EB">
      <w:r>
        <w:t>In her next competition the more experienced archer made sure to properly calibrate the sights of her bow moments before her competition in order to compensate for t</w:t>
      </w:r>
      <w:r w:rsidR="00BE604C">
        <w:t xml:space="preserve">he current weather conditions. </w:t>
      </w:r>
      <w:r>
        <w:t xml:space="preserve">As a result all of her arrows hit the target near the bull’s-eye </w:t>
      </w:r>
      <w:r w:rsidR="00BE604C">
        <w:t>(</w:t>
      </w:r>
      <w:r>
        <w:t xml:space="preserve">as shown in </w:t>
      </w:r>
      <w:r w:rsidR="00AB5611" w:rsidRPr="00AB5611">
        <w:rPr>
          <w:rStyle w:val="CrossRefChar"/>
          <w:highlight w:val="yellow"/>
        </w:rPr>
        <w:fldChar w:fldCharType="begin"/>
      </w:r>
      <w:r w:rsidR="00AB5611" w:rsidRPr="00AB5611">
        <w:rPr>
          <w:rStyle w:val="CrossRefChar"/>
        </w:rPr>
        <w:instrText xml:space="preserve"> REF _Ref359400438 \h </w:instrText>
      </w:r>
      <w:r w:rsidR="00AB5611">
        <w:rPr>
          <w:rStyle w:val="CrossRefChar"/>
          <w:highlight w:val="yellow"/>
        </w:rPr>
        <w:instrText xml:space="preserve"> \* MERGEFORMAT </w:instrText>
      </w:r>
      <w:r w:rsidR="00AB5611" w:rsidRPr="00AB5611">
        <w:rPr>
          <w:rStyle w:val="CrossRefChar"/>
          <w:highlight w:val="yellow"/>
        </w:rPr>
      </w:r>
      <w:r w:rsidR="00AB5611" w:rsidRPr="00AB5611">
        <w:rPr>
          <w:rStyle w:val="CrossRefChar"/>
          <w:highlight w:val="yellow"/>
        </w:rPr>
        <w:fldChar w:fldCharType="separate"/>
      </w:r>
      <w:r w:rsidR="005B7474" w:rsidRPr="005B7474">
        <w:rPr>
          <w:rStyle w:val="CrossRefChar"/>
        </w:rPr>
        <w:t>Figure 1</w:t>
      </w:r>
      <w:r w:rsidR="00AB5611" w:rsidRPr="00AB5611">
        <w:rPr>
          <w:rStyle w:val="CrossRefChar"/>
          <w:highlight w:val="yellow"/>
        </w:rPr>
        <w:fldChar w:fldCharType="end"/>
      </w:r>
      <w:r w:rsidR="00AB5611">
        <w:rPr>
          <w:rStyle w:val="CrossRefChar"/>
        </w:rPr>
        <w:t>c</w:t>
      </w:r>
      <w:r>
        <w:t>) demonstrating high precision as well as high accuracy.</w:t>
      </w:r>
    </w:p>
    <w:p w14:paraId="422823EC" w14:textId="77777777" w:rsidR="005474EB" w:rsidRDefault="005474EB" w:rsidP="005474EB"/>
    <w:p w14:paraId="422823ED" w14:textId="77777777" w:rsidR="00DF30DE" w:rsidRDefault="005474EB" w:rsidP="005474EB">
      <w:r>
        <w:lastRenderedPageBreak/>
        <w:t xml:space="preserve">Trying to hit the bull’s eye of a target with the use of a bow and an arrow is analogous to making a measurement in the goal of obtaining to the </w:t>
      </w:r>
      <w:r w:rsidR="0010296B">
        <w:rPr>
          <w:i/>
        </w:rPr>
        <w:t>true</w:t>
      </w:r>
      <w:r>
        <w:t xml:space="preserve"> value of a quantity within an ac</w:t>
      </w:r>
      <w:r w:rsidR="0016378C">
        <w:t xml:space="preserve">ceptable range of uncertainty. </w:t>
      </w:r>
      <w:r>
        <w:t>A quantity’s true value is the value that would be obta</w:t>
      </w:r>
      <w:r w:rsidR="0016378C">
        <w:t xml:space="preserve">ined in the absence of errors. </w:t>
      </w:r>
      <w:r>
        <w:t>An archer’s precision can be improved through training, while a scientist can improve the precision of his/her measurements with the use of a better experimental technique and/or the use of a measuring instrum</w:t>
      </w:r>
      <w:r w:rsidR="0016378C">
        <w:t>ent having a greater precision.</w:t>
      </w:r>
      <w:r>
        <w:t xml:space="preserve"> However, each instrument has a precision limit that cannot be overcome</w:t>
      </w:r>
      <w:r w:rsidR="0016378C">
        <w:t>,</w:t>
      </w:r>
      <w:r>
        <w:t xml:space="preserve"> i.e.</w:t>
      </w:r>
      <w:r w:rsidR="0016378C">
        <w:t>,</w:t>
      </w:r>
      <w:r>
        <w:t xml:space="preserve"> independent of the amount of training spent by the archer she will never be able to hit the target at precisely the same spot thirteen time</w:t>
      </w:r>
      <w:r w:rsidR="0016378C">
        <w:t>s</w:t>
      </w:r>
      <w:r>
        <w:t xml:space="preserve"> in a row du</w:t>
      </w:r>
      <w:r w:rsidR="0016378C">
        <w:t xml:space="preserve">e to random wind fluctuations. </w:t>
      </w:r>
      <w:r>
        <w:t>Similarly, a scientist will always encounter random fluctuations during experim</w:t>
      </w:r>
      <w:r w:rsidR="0016378C">
        <w:t>ents that cannot be eliminated.</w:t>
      </w:r>
      <w:r>
        <w:t xml:space="preserve"> As in the case of the archer who readjusted the sights on her bow, the inaccuracy of measurements can be improved with the proper calibration of measuring instruments.</w:t>
      </w:r>
      <w:r w:rsidR="009612F4">
        <w:t xml:space="preserve"> </w:t>
      </w:r>
      <w:r w:rsidR="009612F4">
        <w:tab/>
      </w:r>
    </w:p>
    <w:p w14:paraId="422823EE" w14:textId="77777777" w:rsidR="008B4B1B" w:rsidRDefault="008B4B1B" w:rsidP="008B4B1B"/>
    <w:p w14:paraId="422823EF" w14:textId="77777777" w:rsidR="008B4B1B" w:rsidRDefault="008B4B1B" w:rsidP="008B4B1B"/>
    <w:p w14:paraId="422823F0" w14:textId="77777777" w:rsidR="008B4B1B" w:rsidRDefault="008B4B1B" w:rsidP="008B4B1B">
      <w:pPr>
        <w:keepNext/>
        <w:jc w:val="center"/>
      </w:pPr>
      <w:r>
        <w:rPr>
          <w:noProof/>
          <w:lang w:eastAsia="en-CA"/>
        </w:rPr>
        <w:drawing>
          <wp:inline distT="0" distB="0" distL="0" distR="0" wp14:anchorId="4228244B" wp14:editId="4228244C">
            <wp:extent cx="4614291" cy="1200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s.png"/>
                    <pic:cNvPicPr/>
                  </pic:nvPicPr>
                  <pic:blipFill>
                    <a:blip r:embed="rId9">
                      <a:extLst>
                        <a:ext uri="{28A0092B-C50C-407E-A947-70E740481C1C}">
                          <a14:useLocalDpi xmlns:a14="http://schemas.microsoft.com/office/drawing/2010/main" val="0"/>
                        </a:ext>
                      </a:extLst>
                    </a:blip>
                    <a:stretch>
                      <a:fillRect/>
                    </a:stretch>
                  </pic:blipFill>
                  <pic:spPr>
                    <a:xfrm>
                      <a:off x="0" y="0"/>
                      <a:ext cx="4614291" cy="1200813"/>
                    </a:xfrm>
                    <a:prstGeom prst="rect">
                      <a:avLst/>
                    </a:prstGeom>
                  </pic:spPr>
                </pic:pic>
              </a:graphicData>
            </a:graphic>
          </wp:inline>
        </w:drawing>
      </w:r>
    </w:p>
    <w:p w14:paraId="422823F1" w14:textId="77777777" w:rsidR="008B4B1B" w:rsidRDefault="008B4B1B" w:rsidP="008B4B1B">
      <w:pPr>
        <w:keepNext/>
        <w:jc w:val="center"/>
      </w:pPr>
    </w:p>
    <w:p w14:paraId="422823F2" w14:textId="77777777" w:rsidR="00167C22" w:rsidRPr="00514138" w:rsidRDefault="008B4B1B" w:rsidP="00514138">
      <w:pPr>
        <w:pStyle w:val="Caption"/>
        <w:ind w:left="993" w:right="996"/>
        <w:jc w:val="left"/>
      </w:pPr>
      <w:bookmarkStart w:id="10" w:name="_Ref359400438"/>
      <w:r>
        <w:t xml:space="preserve">Figure </w:t>
      </w:r>
      <w:fldSimple w:instr=" SEQ Figure \* ARABIC ">
        <w:r w:rsidR="005B7474">
          <w:rPr>
            <w:noProof/>
          </w:rPr>
          <w:t>1</w:t>
        </w:r>
      </w:fldSimple>
      <w:bookmarkEnd w:id="10"/>
      <w:r>
        <w:t xml:space="preserve"> - </w:t>
      </w:r>
      <w:r w:rsidRPr="00207BEC">
        <w:t>Archer shooting 13 times at a target. (a) Accurate (the average is accurate) but not precise.  (</w:t>
      </w:r>
      <w:proofErr w:type="gramStart"/>
      <w:r w:rsidRPr="00207BEC">
        <w:t>b</w:t>
      </w:r>
      <w:proofErr w:type="gramEnd"/>
      <w:r w:rsidRPr="00207BEC">
        <w:t>) Precise not accurate. (c) Accurate and precise</w:t>
      </w:r>
      <w:r>
        <w:t xml:space="preserve">. </w:t>
      </w:r>
      <w:r w:rsidR="00514138">
        <w:br/>
      </w:r>
      <w:r w:rsidR="00514138">
        <w:br/>
      </w:r>
    </w:p>
    <w:p w14:paraId="422823F3" w14:textId="77777777" w:rsidR="009612F4" w:rsidRPr="00F47A50" w:rsidRDefault="009612F4" w:rsidP="00977B6F">
      <w:pPr>
        <w:pStyle w:val="Heading2"/>
      </w:pPr>
      <w:bookmarkStart w:id="11" w:name="_Toc381600953"/>
      <w:r w:rsidRPr="00F47A50">
        <w:t>Types of Errors</w:t>
      </w:r>
      <w:bookmarkEnd w:id="11"/>
    </w:p>
    <w:p w14:paraId="422823F4" w14:textId="77777777" w:rsidR="009612F4" w:rsidRDefault="009612F4" w:rsidP="009612F4">
      <w:r>
        <w:t>It is impossible to obtain an exact measurement due to the lack of precision of instruments and the experimental techniques.</w:t>
      </w:r>
    </w:p>
    <w:p w14:paraId="422823F5" w14:textId="77777777" w:rsidR="009612F4" w:rsidRDefault="009612F4" w:rsidP="009612F4"/>
    <w:p w14:paraId="422823F6" w14:textId="77777777" w:rsidR="009612F4" w:rsidRDefault="009612F4" w:rsidP="009612F4">
      <w:r>
        <w:t>Here are the two types of errors an experimentalist can encounter:</w:t>
      </w:r>
    </w:p>
    <w:p w14:paraId="422823F7" w14:textId="77777777" w:rsidR="009612F4" w:rsidRDefault="009612F4" w:rsidP="009612F4"/>
    <w:p w14:paraId="422823F8" w14:textId="77777777" w:rsidR="009612F4" w:rsidRDefault="009612F4" w:rsidP="00977B6F">
      <w:pPr>
        <w:pStyle w:val="Heading3"/>
      </w:pPr>
      <w:r>
        <w:t xml:space="preserve">Random </w:t>
      </w:r>
      <w:r w:rsidR="00AD22E1">
        <w:t>e</w:t>
      </w:r>
      <w:r>
        <w:t>rrors</w:t>
      </w:r>
    </w:p>
    <w:p w14:paraId="422823F9" w14:textId="77777777" w:rsidR="009612F4" w:rsidRDefault="009612F4" w:rsidP="009612F4">
      <w:r>
        <w:t>Random errors are those which come up differently each time a reading is taken. They are statistical in origin and can be treated using statistical methods. Repeated readings of the same quantity will give a statistical sample and this serves both to provide a better answer an</w:t>
      </w:r>
      <w:r w:rsidR="005403B4">
        <w:t xml:space="preserve">d to estimate the random error. </w:t>
      </w:r>
      <w:r>
        <w:t>Random errors are seen as deviations between the mea</w:t>
      </w:r>
      <w:r w:rsidR="00520BF6">
        <w:t xml:space="preserve">sured values and the mean value </w:t>
      </w:r>
      <w:r w:rsidRPr="00772E8F">
        <w:t xml:space="preserve">(see </w:t>
      </w:r>
      <w:r w:rsidR="00772E8F" w:rsidRPr="00772E8F">
        <w:rPr>
          <w:rStyle w:val="CrossRefChar"/>
        </w:rPr>
        <w:fldChar w:fldCharType="begin"/>
      </w:r>
      <w:r w:rsidR="00772E8F" w:rsidRPr="00772E8F">
        <w:rPr>
          <w:rStyle w:val="CrossRefChar"/>
        </w:rPr>
        <w:instrText xml:space="preserve"> REF _Ref359401628 \h  \* MERGEFORMAT </w:instrText>
      </w:r>
      <w:r w:rsidR="00772E8F" w:rsidRPr="00772E8F">
        <w:rPr>
          <w:rStyle w:val="CrossRefChar"/>
        </w:rPr>
      </w:r>
      <w:r w:rsidR="00772E8F" w:rsidRPr="00772E8F">
        <w:rPr>
          <w:rStyle w:val="CrossRefChar"/>
        </w:rPr>
        <w:fldChar w:fldCharType="separate"/>
      </w:r>
      <w:r w:rsidR="005B7474" w:rsidRPr="005B7474">
        <w:rPr>
          <w:rStyle w:val="CrossRefChar"/>
        </w:rPr>
        <w:t>Figure 2</w:t>
      </w:r>
      <w:r w:rsidR="00772E8F" w:rsidRPr="00772E8F">
        <w:rPr>
          <w:rStyle w:val="CrossRefChar"/>
        </w:rPr>
        <w:fldChar w:fldCharType="end"/>
      </w:r>
      <w:r w:rsidRPr="00772E8F">
        <w:t>)</w:t>
      </w:r>
      <w:r w:rsidR="00520BF6">
        <w:t xml:space="preserve">. </w:t>
      </w:r>
    </w:p>
    <w:p w14:paraId="422823FA" w14:textId="77777777" w:rsidR="009612F4" w:rsidRDefault="009612F4" w:rsidP="009612F4"/>
    <w:p w14:paraId="422823FB" w14:textId="77777777" w:rsidR="009612F4" w:rsidRPr="00E508DA" w:rsidRDefault="009612F4" w:rsidP="00E609A7">
      <w:pPr>
        <w:pStyle w:val="Important"/>
      </w:pPr>
      <w:r w:rsidRPr="00E508DA">
        <w:sym w:font="Wingdings" w:char="F0D8"/>
      </w:r>
      <w:r w:rsidR="00C74CEA">
        <w:tab/>
      </w:r>
      <w:r w:rsidRPr="00E508DA">
        <w:t>Random errors affect the precision of measurements not its accuracy.</w:t>
      </w:r>
    </w:p>
    <w:p w14:paraId="422823FC" w14:textId="77777777" w:rsidR="009612F4" w:rsidRDefault="009612F4" w:rsidP="009612F4"/>
    <w:p w14:paraId="422823FD" w14:textId="77777777" w:rsidR="00AD22E1" w:rsidRPr="00AD22E1" w:rsidRDefault="00AD22E1" w:rsidP="00977B6F">
      <w:pPr>
        <w:pStyle w:val="Heading3"/>
      </w:pPr>
      <w:r>
        <w:t>Systematic e</w:t>
      </w:r>
      <w:r w:rsidR="009612F4">
        <w:t>rrors</w:t>
      </w:r>
    </w:p>
    <w:p w14:paraId="422823FE" w14:textId="77777777" w:rsidR="009612F4" w:rsidRDefault="009612F4" w:rsidP="009612F4">
      <w:r>
        <w:t>These are deviations between the mean of a large number o</w:t>
      </w:r>
      <w:r w:rsidR="00AD22E1">
        <w:t xml:space="preserve">f measured values and the </w:t>
      </w:r>
      <w:r w:rsidR="00AD22E1" w:rsidRPr="00AD22E1">
        <w:rPr>
          <w:i/>
        </w:rPr>
        <w:t>true</w:t>
      </w:r>
      <w:r w:rsidR="00AD22E1">
        <w:t xml:space="preserve"> value.</w:t>
      </w:r>
      <w:r>
        <w:t xml:space="preserve"> This type of error is due to limitations of the measurement equipment or improper calibration. These types of errors will shift all the mea</w:t>
      </w:r>
      <w:r w:rsidR="00F92A07">
        <w:t xml:space="preserve">surements relative to the </w:t>
      </w:r>
      <w:r w:rsidR="00F92A07" w:rsidRPr="00F92A07">
        <w:rPr>
          <w:i/>
        </w:rPr>
        <w:t>true</w:t>
      </w:r>
      <w:r w:rsidR="00520BF6">
        <w:t xml:space="preserve"> value</w:t>
      </w:r>
      <w:r>
        <w:t xml:space="preserve"> (</w:t>
      </w:r>
      <w:r w:rsidR="00772E8F" w:rsidRPr="00772E8F">
        <w:t xml:space="preserve">see </w:t>
      </w:r>
      <w:r w:rsidR="00772E8F" w:rsidRPr="00772E8F">
        <w:fldChar w:fldCharType="begin"/>
      </w:r>
      <w:r w:rsidR="00772E8F" w:rsidRPr="00772E8F">
        <w:instrText xml:space="preserve"> REF _Ref359401628 \h  \* MERGEFORMAT </w:instrText>
      </w:r>
      <w:r w:rsidR="00772E8F" w:rsidRPr="00772E8F">
        <w:fldChar w:fldCharType="separate"/>
      </w:r>
      <w:r w:rsidR="005B7474" w:rsidRPr="005B7474">
        <w:rPr>
          <w:rStyle w:val="CrossRefChar"/>
        </w:rPr>
        <w:t>Figure 2</w:t>
      </w:r>
      <w:r w:rsidR="00772E8F" w:rsidRPr="00772E8F">
        <w:fldChar w:fldCharType="end"/>
      </w:r>
      <w:r w:rsidR="005403B4">
        <w:t>)</w:t>
      </w:r>
      <w:r w:rsidR="00520BF6">
        <w:t>.</w:t>
      </w:r>
      <w:r w:rsidR="005403B4">
        <w:t xml:space="preserve"> </w:t>
      </w:r>
      <w:r>
        <w:t>Ex</w:t>
      </w:r>
      <w:r w:rsidR="005403B4">
        <w:t>amples of such errors are the d</w:t>
      </w:r>
      <w:r>
        <w:t>isplacement of</w:t>
      </w:r>
      <w:r w:rsidR="005403B4">
        <w:t xml:space="preserve"> the zero point on a micrometer, the u</w:t>
      </w:r>
      <w:r>
        <w:t>naccounted loss of heat during a calorimeter experiment</w:t>
      </w:r>
      <w:r w:rsidR="005403B4">
        <w:t xml:space="preserve"> or a </w:t>
      </w:r>
      <w:r>
        <w:t xml:space="preserve">meter scale drawn with slightly wrong </w:t>
      </w:r>
      <w:r w:rsidR="00E508DA">
        <w:t>spacing</w:t>
      </w:r>
      <w:r w:rsidR="005403B4">
        <w:t xml:space="preserve">. </w:t>
      </w:r>
    </w:p>
    <w:p w14:paraId="422823FF" w14:textId="77777777" w:rsidR="00726E69" w:rsidRDefault="00726E69" w:rsidP="00726E69"/>
    <w:p w14:paraId="42282400" w14:textId="77777777" w:rsidR="009612F4" w:rsidRDefault="00726E69" w:rsidP="00E609A7">
      <w:pPr>
        <w:pStyle w:val="Important"/>
      </w:pPr>
      <w:r w:rsidRPr="009612F4">
        <w:sym w:font="Wingdings" w:char="F0D8"/>
      </w:r>
      <w:r w:rsidR="00C74CEA">
        <w:tab/>
      </w:r>
      <w:r w:rsidR="009612F4" w:rsidRPr="00726E69">
        <w:t>Systematic errors affect the accuracy of measurements not its precision</w:t>
      </w:r>
      <w:r>
        <w:t xml:space="preserve">. </w:t>
      </w:r>
    </w:p>
    <w:p w14:paraId="42282401" w14:textId="77777777" w:rsidR="009612F4" w:rsidRDefault="009612F4" w:rsidP="009612F4"/>
    <w:p w14:paraId="42282402" w14:textId="77777777" w:rsidR="00C55796" w:rsidRDefault="00C55796" w:rsidP="009612F4"/>
    <w:p w14:paraId="42282403" w14:textId="77777777" w:rsidR="00C55796" w:rsidRDefault="00C55796" w:rsidP="00D60DA2">
      <w:pPr>
        <w:keepNext/>
        <w:jc w:val="center"/>
      </w:pPr>
      <w:r>
        <w:rPr>
          <w:noProof/>
          <w:lang w:eastAsia="en-CA"/>
        </w:rPr>
        <w:lastRenderedPageBreak/>
        <w:drawing>
          <wp:inline distT="0" distB="0" distL="0" distR="0" wp14:anchorId="4228244D" wp14:editId="4228244E">
            <wp:extent cx="5943600" cy="172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_valu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722120"/>
                    </a:xfrm>
                    <a:prstGeom prst="rect">
                      <a:avLst/>
                    </a:prstGeom>
                  </pic:spPr>
                </pic:pic>
              </a:graphicData>
            </a:graphic>
          </wp:inline>
        </w:drawing>
      </w:r>
    </w:p>
    <w:p w14:paraId="42282404" w14:textId="77777777" w:rsidR="00C55796" w:rsidRDefault="00C55796" w:rsidP="00C55796">
      <w:pPr>
        <w:keepNext/>
      </w:pPr>
    </w:p>
    <w:p w14:paraId="42282405" w14:textId="77777777" w:rsidR="00E508DA" w:rsidRPr="00514138" w:rsidRDefault="00C55796" w:rsidP="00514138">
      <w:pPr>
        <w:pStyle w:val="Caption"/>
        <w:jc w:val="both"/>
      </w:pPr>
      <w:bookmarkStart w:id="12" w:name="_Ref359401628"/>
      <w:r>
        <w:t xml:space="preserve">Figure </w:t>
      </w:r>
      <w:fldSimple w:instr=" SEQ Figure \* ARABIC ">
        <w:r w:rsidR="005B7474">
          <w:rPr>
            <w:noProof/>
          </w:rPr>
          <w:t>2</w:t>
        </w:r>
      </w:fldSimple>
      <w:bookmarkEnd w:id="12"/>
      <w:r>
        <w:t xml:space="preserve"> - The red bars with a dot at the top represent the error bars of the mean value of a measured quantity. (a) Low systematic error (high accuracy) and low random error (high precision) are ideal conditions for doing an experiment. (b) Low random error (high precision) but a large systematic error (low accuracy). All the measurements are shifted to one side (left) of the true value indicating the use of an improperly calibrated measuring instrument. (c) The combination of a large systematic error (low accuracy) and large random error (low precision) is the worst experimental condition. (d) Large random error (low precision) probably due to the use of a relatively low precision instrument for the particular type of measurement. However the low systematic error (or high accuracy) indicates that the instrument is well calibrated. Considering the conditions (low precision) our experimentalist has been quite lucky to obtain a mean value relatively close to the true value.</w:t>
      </w:r>
      <w:r w:rsidR="00514138">
        <w:br/>
      </w:r>
      <w:r w:rsidR="00514138">
        <w:br/>
      </w:r>
    </w:p>
    <w:p w14:paraId="42282406" w14:textId="77777777" w:rsidR="00E31A95" w:rsidRDefault="00E31A95" w:rsidP="00977B6F">
      <w:pPr>
        <w:pStyle w:val="Heading2"/>
      </w:pPr>
      <w:bookmarkStart w:id="13" w:name="_Toc381600954"/>
      <w:r>
        <w:t>Statement of a m</w:t>
      </w:r>
      <w:r w:rsidRPr="00E31A95">
        <w:t>easurement</w:t>
      </w:r>
      <w:bookmarkEnd w:id="13"/>
    </w:p>
    <w:p w14:paraId="42282407" w14:textId="77777777" w:rsidR="00E508DA" w:rsidRDefault="00E508DA" w:rsidP="00E508DA">
      <w:r>
        <w:t>A complete statement of any measured quantity involves three distinct parts:</w:t>
      </w:r>
      <w:r>
        <w:tab/>
      </w:r>
      <w:r>
        <w:br/>
      </w:r>
    </w:p>
    <w:p w14:paraId="42282408" w14:textId="77777777" w:rsidR="00E508DA" w:rsidRDefault="00E508DA" w:rsidP="00E508DA">
      <w:pPr>
        <w:pStyle w:val="ListParagraph"/>
        <w:numPr>
          <w:ilvl w:val="0"/>
          <w:numId w:val="24"/>
        </w:numPr>
        <w:jc w:val="left"/>
      </w:pPr>
      <w:r>
        <w:t>A specific description of what has been measured;</w:t>
      </w:r>
      <w:r>
        <w:tab/>
      </w:r>
      <w:r>
        <w:br/>
      </w:r>
    </w:p>
    <w:p w14:paraId="42282409" w14:textId="77777777" w:rsidR="00E508DA" w:rsidRDefault="00E508DA" w:rsidP="00E508DA">
      <w:pPr>
        <w:pStyle w:val="ListParagraph"/>
        <w:numPr>
          <w:ilvl w:val="0"/>
          <w:numId w:val="24"/>
        </w:numPr>
        <w:jc w:val="left"/>
      </w:pPr>
      <w:r>
        <w:t>A number giving the magnitude of the measured quantity and a statement of the units in which it is expressed;</w:t>
      </w:r>
      <w:r>
        <w:br/>
      </w:r>
    </w:p>
    <w:p w14:paraId="4228240A" w14:textId="77777777" w:rsidR="00E508DA" w:rsidRDefault="00E508DA" w:rsidP="00E508DA">
      <w:pPr>
        <w:pStyle w:val="ListParagraph"/>
        <w:numPr>
          <w:ilvl w:val="0"/>
          <w:numId w:val="24"/>
        </w:numPr>
        <w:jc w:val="left"/>
      </w:pPr>
      <w:r>
        <w:t>An indication of the reliability of the measurement.</w:t>
      </w:r>
    </w:p>
    <w:p w14:paraId="4228240B" w14:textId="77777777" w:rsidR="00E508DA" w:rsidRDefault="00E508DA" w:rsidP="00E508DA"/>
    <w:p w14:paraId="4228240C" w14:textId="77777777" w:rsidR="00E508DA" w:rsidRDefault="00E508DA" w:rsidP="00E508DA">
      <w:r>
        <w:t xml:space="preserve">The reliability indication usually takes the form of an estimate of the range of values within which the </w:t>
      </w:r>
      <w:r>
        <w:rPr>
          <w:i/>
        </w:rPr>
        <w:t xml:space="preserve">true </w:t>
      </w:r>
      <w:r>
        <w:t xml:space="preserve">value probably lies, and is called the error on the measurement. As an example, the complete statement for the measurement of the length </w:t>
      </w:r>
      <m:oMath>
        <m:r>
          <w:rPr>
            <w:rFonts w:ascii="Cambria Math" w:hAnsi="Cambria Math"/>
          </w:rPr>
          <m:t>L</m:t>
        </m:r>
      </m:oMath>
      <w:r>
        <w:t xml:space="preserve"> of a cylinder is </w:t>
      </w:r>
      <m:oMath>
        <m:r>
          <w:rPr>
            <w:rFonts w:ascii="Cambria Math" w:hAnsi="Cambria Math"/>
          </w:rPr>
          <m:t>L = (4.90 ± 0.05)</m:t>
        </m:r>
      </m:oMath>
      <w:r>
        <w:t xml:space="preserve">mm.  </w:t>
      </w:r>
    </w:p>
    <w:p w14:paraId="4228240D" w14:textId="77777777" w:rsidR="00E508DA" w:rsidRDefault="00E508DA" w:rsidP="00E508DA"/>
    <w:p w14:paraId="4228240E" w14:textId="77777777" w:rsidR="00E508DA" w:rsidRDefault="00E508DA" w:rsidP="00E508DA">
      <w:r>
        <w:t>There exists two different ways of expressing the uncertainty of a measurement:</w:t>
      </w:r>
    </w:p>
    <w:p w14:paraId="4228240F" w14:textId="77777777" w:rsidR="00E508DA" w:rsidRDefault="00E508DA" w:rsidP="00E508DA"/>
    <w:p w14:paraId="42282410" w14:textId="77777777" w:rsidR="00E609A7" w:rsidRDefault="001D4BEC" w:rsidP="00E609A7">
      <w:pPr>
        <w:pStyle w:val="ListParagraph"/>
        <w:numPr>
          <w:ilvl w:val="0"/>
          <w:numId w:val="25"/>
        </w:numPr>
        <w:tabs>
          <w:tab w:val="left" w:pos="2694"/>
        </w:tabs>
        <w:jc w:val="left"/>
      </w:pPr>
      <w:r>
        <w:t>Absolute u</w:t>
      </w:r>
      <w:r w:rsidR="00E508DA">
        <w:t>ncertainty:</w:t>
      </w:r>
      <w:r w:rsidR="00E508DA">
        <w:tab/>
        <w:t>The uncertainty (or error) is given in the same u</w:t>
      </w:r>
      <w:r w:rsidR="00E609A7">
        <w:t xml:space="preserve">nits as the measured </w:t>
      </w:r>
      <w:r w:rsidR="00E609A7">
        <w:tab/>
        <w:t>quantity.</w:t>
      </w:r>
      <w:r w:rsidR="00E508DA">
        <w:t xml:space="preserve"> Ex. (5.4 ± 0.3)A</w:t>
      </w:r>
      <w:r w:rsidR="00E609A7">
        <w:br/>
      </w:r>
    </w:p>
    <w:p w14:paraId="42282411" w14:textId="77777777" w:rsidR="00E508DA" w:rsidRDefault="001D4BEC" w:rsidP="00E508DA">
      <w:pPr>
        <w:pStyle w:val="ListParagraph"/>
        <w:numPr>
          <w:ilvl w:val="0"/>
          <w:numId w:val="25"/>
        </w:numPr>
        <w:tabs>
          <w:tab w:val="left" w:pos="2694"/>
        </w:tabs>
        <w:jc w:val="left"/>
      </w:pPr>
      <w:r>
        <w:t>Relative u</w:t>
      </w:r>
      <w:r w:rsidR="00E508DA">
        <w:t>ncertainty</w:t>
      </w:r>
      <w:r w:rsidR="00E609A7">
        <w:t>:</w:t>
      </w:r>
      <w:r w:rsidR="00E609A7">
        <w:tab/>
      </w:r>
      <w:r w:rsidR="00E508DA">
        <w:t xml:space="preserve">The uncertainty (or error) is expresses as a </w:t>
      </w:r>
      <w:r w:rsidR="00E609A7">
        <w:t>fraction or a percentage of the</w:t>
      </w:r>
      <w:r w:rsidR="00E609A7">
        <w:br/>
      </w:r>
      <w:r w:rsidR="00E609A7">
        <w:tab/>
      </w:r>
      <w:r w:rsidR="00E508DA">
        <w:t>measured quantity.</w:t>
      </w:r>
      <w:r w:rsidR="00E609A7">
        <w:t xml:space="preserve"> </w:t>
      </w:r>
      <w:r w:rsidR="00E508DA">
        <w:t>Ex. 5.4A ± 6%</w:t>
      </w:r>
    </w:p>
    <w:p w14:paraId="42282412" w14:textId="77777777" w:rsidR="00E508DA" w:rsidRDefault="00E508DA" w:rsidP="00E508DA"/>
    <w:p w14:paraId="42282413" w14:textId="77777777" w:rsidR="00E508DA" w:rsidRDefault="00E508DA" w:rsidP="00E508DA">
      <w:r>
        <w:t>These uncertainties arise from the precision li</w:t>
      </w:r>
      <w:r w:rsidR="00E609A7">
        <w:t xml:space="preserve">mit the measurement instrument. </w:t>
      </w:r>
      <w:r>
        <w:t>It is common practice to express the uncertainty in absolute form in a data table.</w:t>
      </w:r>
    </w:p>
    <w:p w14:paraId="42282414" w14:textId="77777777" w:rsidR="00E508DA" w:rsidRDefault="00E508DA" w:rsidP="00E508DA"/>
    <w:p w14:paraId="42282415" w14:textId="77777777" w:rsidR="00E508DA" w:rsidRPr="00E609A7" w:rsidRDefault="00E609A7" w:rsidP="00E609A7">
      <w:pPr>
        <w:pStyle w:val="Important"/>
      </w:pPr>
      <w:r w:rsidRPr="00E609A7">
        <w:sym w:font="Wingdings" w:char="F0D8"/>
      </w:r>
      <w:r w:rsidRPr="00E609A7">
        <w:t xml:space="preserve"> </w:t>
      </w:r>
      <w:r w:rsidRPr="00E609A7">
        <w:tab/>
      </w:r>
      <w:r w:rsidR="00E508DA" w:rsidRPr="00E609A7">
        <w:t>The uncertainty estab</w:t>
      </w:r>
      <w:r w:rsidRPr="00E609A7">
        <w:t xml:space="preserve">lishes the limits in which the true </w:t>
      </w:r>
      <w:r w:rsidR="00E508DA" w:rsidRPr="00E609A7">
        <w:t>value lies.</w:t>
      </w:r>
      <w:r w:rsidRPr="00E609A7">
        <w:t xml:space="preserve"> For example, </w:t>
      </w:r>
      <m:oMath>
        <m:r>
          <m:rPr>
            <m:sty m:val="bi"/>
          </m:rPr>
          <w:rPr>
            <w:rFonts w:ascii="Cambria Math" w:hAnsi="Cambria Math"/>
          </w:rPr>
          <m:t>m</m:t>
        </m:r>
        <m:r>
          <m:rPr>
            <m:sty m:val="b"/>
          </m:rPr>
          <w:rPr>
            <w:rFonts w:ascii="Cambria Math" w:hAnsi="Cambria Math"/>
          </w:rPr>
          <m:t xml:space="preserve"> = (41.5610 ± 0.0005)</m:t>
        </m:r>
      </m:oMath>
      <w:r w:rsidRPr="00E609A7">
        <w:t xml:space="preserve">g means that </w:t>
      </w:r>
      <m:oMath>
        <m:r>
          <m:rPr>
            <m:sty m:val="b"/>
          </m:rPr>
          <w:rPr>
            <w:rFonts w:ascii="Cambria Math" w:hAnsi="Cambria Math"/>
          </w:rPr>
          <m:t>41.5605</m:t>
        </m:r>
      </m:oMath>
      <w:r w:rsidRPr="00E609A7">
        <w:t>g</w:t>
      </w:r>
      <m:oMath>
        <m:r>
          <m:rPr>
            <m:sty m:val="b"/>
          </m:rPr>
          <w:rPr>
            <w:rFonts w:ascii="Cambria Math" w:hAnsi="Cambria Math"/>
          </w:rPr>
          <m:t xml:space="preserve"> ≤ </m:t>
        </m:r>
        <m:r>
          <m:rPr>
            <m:sty m:val="bi"/>
          </m:rPr>
          <w:rPr>
            <w:rFonts w:ascii="Cambria Math" w:hAnsi="Cambria Math"/>
          </w:rPr>
          <m:t>m</m:t>
        </m:r>
        <m:r>
          <m:rPr>
            <m:sty m:val="b"/>
          </m:rPr>
          <w:rPr>
            <w:rFonts w:ascii="Cambria Math" w:hAnsi="Cambria Math"/>
          </w:rPr>
          <m:t xml:space="preserve"> ≤ 41.5615</m:t>
        </m:r>
      </m:oMath>
      <w:r w:rsidRPr="00E609A7">
        <w:t>g</w:t>
      </w:r>
      <w:r>
        <w:t xml:space="preserve">. </w:t>
      </w:r>
      <w:r w:rsidRPr="00E609A7">
        <w:t xml:space="preserve"> </w:t>
      </w:r>
    </w:p>
    <w:p w14:paraId="42282416" w14:textId="77777777" w:rsidR="00E508DA" w:rsidRPr="00E609A7" w:rsidRDefault="00E508DA" w:rsidP="00E508DA"/>
    <w:p w14:paraId="42282417" w14:textId="77777777" w:rsidR="00E508DA" w:rsidRDefault="00E508DA" w:rsidP="00E508DA">
      <w:r>
        <w:t xml:space="preserve">On a graph, the uncertainty on a measurement is represented by error bars. Let’s take the example of a data point where </w:t>
      </w:r>
      <m:oMath>
        <m:r>
          <w:rPr>
            <w:rFonts w:ascii="Cambria Math" w:hAnsi="Cambria Math"/>
          </w:rPr>
          <m:t>(x, y) = (0.6 ± 0.1, 0.5 ± 0.2)</m:t>
        </m:r>
      </m:oMath>
      <w:r w:rsidR="00E70812">
        <w:t xml:space="preserve"> </w:t>
      </w:r>
      <w:r w:rsidR="00E70812" w:rsidRPr="00D60DA2">
        <w:t>as illustrated in</w:t>
      </w:r>
      <w:r w:rsidR="00D60DA2">
        <w:t xml:space="preserve"> </w:t>
      </w:r>
      <w:r w:rsidR="00D60DA2" w:rsidRPr="00D60DA2">
        <w:rPr>
          <w:rStyle w:val="CrossRefChar"/>
        </w:rPr>
        <w:fldChar w:fldCharType="begin"/>
      </w:r>
      <w:r w:rsidR="00D60DA2" w:rsidRPr="00D60DA2">
        <w:rPr>
          <w:rStyle w:val="CrossRefChar"/>
        </w:rPr>
        <w:instrText xml:space="preserve"> REF _Ref359403160 \h </w:instrText>
      </w:r>
      <w:r w:rsidR="00D60DA2">
        <w:rPr>
          <w:rStyle w:val="CrossRefChar"/>
        </w:rPr>
        <w:instrText xml:space="preserve"> \* MERGEFORMAT </w:instrText>
      </w:r>
      <w:r w:rsidR="00D60DA2" w:rsidRPr="00D60DA2">
        <w:rPr>
          <w:rStyle w:val="CrossRefChar"/>
        </w:rPr>
      </w:r>
      <w:r w:rsidR="00D60DA2" w:rsidRPr="00D60DA2">
        <w:rPr>
          <w:rStyle w:val="CrossRefChar"/>
        </w:rPr>
        <w:fldChar w:fldCharType="separate"/>
      </w:r>
      <w:r w:rsidR="005B7474" w:rsidRPr="005B7474">
        <w:rPr>
          <w:rStyle w:val="CrossRefChar"/>
        </w:rPr>
        <w:t>Figure 3</w:t>
      </w:r>
      <w:r w:rsidR="00D60DA2" w:rsidRPr="00D60DA2">
        <w:rPr>
          <w:rStyle w:val="CrossRefChar"/>
        </w:rPr>
        <w:fldChar w:fldCharType="end"/>
      </w:r>
      <w:r w:rsidR="006A1F78">
        <w:t xml:space="preserve">. </w:t>
      </w:r>
      <w:r>
        <w:t xml:space="preserve">The value of the data point, (0.6, 0.5), is shown </w:t>
      </w:r>
      <w:r>
        <w:lastRenderedPageBreak/>
        <w:t>by the dot, and the lines s</w:t>
      </w:r>
      <w:r w:rsidR="00E70812">
        <w:t xml:space="preserve">how the values of the errors. </w:t>
      </w:r>
      <w:r>
        <w:t>For example the error bar on the y-axis has a magnitude of 0.4, +0.2 and -0.2, which reflects the uncertainty of ±0.2 on the measurement of</w:t>
      </w:r>
      <w:r w:rsidR="0009308C">
        <w:t xml:space="preserve"> 0.5.</w:t>
      </w:r>
    </w:p>
    <w:p w14:paraId="42282418" w14:textId="77777777" w:rsidR="0009308C" w:rsidRPr="00E508DA" w:rsidRDefault="0009308C" w:rsidP="00E508DA"/>
    <w:p w14:paraId="42282419" w14:textId="77777777" w:rsidR="00D60DA2" w:rsidRDefault="00D60DA2" w:rsidP="00D60DA2">
      <w:pPr>
        <w:keepNext/>
        <w:autoSpaceDE/>
        <w:autoSpaceDN/>
        <w:adjustRightInd/>
        <w:spacing w:after="200" w:line="276" w:lineRule="auto"/>
        <w:jc w:val="center"/>
        <w:textAlignment w:val="auto"/>
      </w:pPr>
      <w:r>
        <w:rPr>
          <w:noProof/>
          <w:lang w:eastAsia="en-CA"/>
        </w:rPr>
        <w:drawing>
          <wp:inline distT="0" distB="0" distL="0" distR="0" wp14:anchorId="4228244F" wp14:editId="42282450">
            <wp:extent cx="2566204" cy="256010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error_bars.png"/>
                    <pic:cNvPicPr/>
                  </pic:nvPicPr>
                  <pic:blipFill>
                    <a:blip r:embed="rId11">
                      <a:extLst>
                        <a:ext uri="{28A0092B-C50C-407E-A947-70E740481C1C}">
                          <a14:useLocalDpi xmlns:a14="http://schemas.microsoft.com/office/drawing/2010/main" val="0"/>
                        </a:ext>
                      </a:extLst>
                    </a:blip>
                    <a:stretch>
                      <a:fillRect/>
                    </a:stretch>
                  </pic:blipFill>
                  <pic:spPr>
                    <a:xfrm>
                      <a:off x="0" y="0"/>
                      <a:ext cx="2566204" cy="2560109"/>
                    </a:xfrm>
                    <a:prstGeom prst="rect">
                      <a:avLst/>
                    </a:prstGeom>
                  </pic:spPr>
                </pic:pic>
              </a:graphicData>
            </a:graphic>
          </wp:inline>
        </w:drawing>
      </w:r>
    </w:p>
    <w:p w14:paraId="4228241A" w14:textId="457D3CF8" w:rsidR="0009308C" w:rsidRPr="0009308C" w:rsidRDefault="00D60DA2" w:rsidP="0009308C">
      <w:pPr>
        <w:pStyle w:val="Caption"/>
      </w:pPr>
      <w:bookmarkStart w:id="14" w:name="_Ref359403160"/>
      <w:r>
        <w:t xml:space="preserve">Figure </w:t>
      </w:r>
      <w:fldSimple w:instr=" SEQ Figure \* ARABIC ">
        <w:r w:rsidR="005B7474">
          <w:rPr>
            <w:noProof/>
          </w:rPr>
          <w:t>3</w:t>
        </w:r>
      </w:fldSimple>
      <w:bookmarkEnd w:id="14"/>
      <w:r>
        <w:t xml:space="preserve"> – Graphical representation of the data </w:t>
      </w:r>
      <w:proofErr w:type="gramStart"/>
      <w:r>
        <w:t>p</w:t>
      </w:r>
      <w:r w:rsidRPr="00D60DA2">
        <w:t xml:space="preserve">oint </w:t>
      </w:r>
      <w:proofErr w:type="gramEnd"/>
      <m:oMath>
        <m:r>
          <m:rPr>
            <m:sty m:val="bi"/>
          </m:rPr>
          <w:rPr>
            <w:rFonts w:ascii="Cambria Math" w:hAnsi="Cambria Math"/>
          </w:rPr>
          <m:t>(x, y) = (0.</m:t>
        </m:r>
        <m:r>
          <m:rPr>
            <m:sty m:val="bi"/>
          </m:rPr>
          <w:rPr>
            <w:rFonts w:ascii="Cambria Math" w:hAnsi="Cambria Math"/>
          </w:rPr>
          <m:t>7</m:t>
        </m:r>
        <m:r>
          <m:rPr>
            <m:sty m:val="bi"/>
          </m:rPr>
          <w:rPr>
            <w:rFonts w:ascii="Cambria Math" w:hAnsi="Cambria Math"/>
          </w:rPr>
          <m:t xml:space="preserve"> ± 0.1, 0.5 ± 0.2)</m:t>
        </m:r>
      </m:oMath>
      <w:r>
        <w:rPr>
          <w:rFonts w:eastAsiaTheme="minorEastAsia"/>
        </w:rPr>
        <w:t xml:space="preserve">. </w:t>
      </w:r>
      <w:r w:rsidR="00514138">
        <w:br/>
      </w:r>
      <w:r w:rsidR="00514138">
        <w:br/>
      </w:r>
    </w:p>
    <w:p w14:paraId="4228241B" w14:textId="77777777" w:rsidR="00E31A95" w:rsidRDefault="00E31A95" w:rsidP="00977B6F">
      <w:pPr>
        <w:pStyle w:val="Heading2"/>
      </w:pPr>
      <w:bookmarkStart w:id="15" w:name="_Toc381600955"/>
      <w:r>
        <w:t>Quantitative c</w:t>
      </w:r>
      <w:r w:rsidRPr="00E31A95">
        <w:t>omparisons</w:t>
      </w:r>
      <w:bookmarkEnd w:id="15"/>
    </w:p>
    <w:p w14:paraId="4228241C" w14:textId="77777777" w:rsidR="003F427C" w:rsidRDefault="003F427C" w:rsidP="003F427C">
      <w:r>
        <w:t>Let’s consider the comparison between three values for the gravitational constant; two measured values and the accepted value:</w:t>
      </w:r>
    </w:p>
    <w:p w14:paraId="4228241D" w14:textId="77777777" w:rsidR="003F427C" w:rsidRDefault="003F427C" w:rsidP="003F427C"/>
    <w:p w14:paraId="4228241E" w14:textId="77777777" w:rsidR="003F427C" w:rsidRPr="003F427C" w:rsidRDefault="003F427C" w:rsidP="003F427C">
      <w:pPr>
        <w:pStyle w:val="ListParagraph"/>
        <w:numPr>
          <w:ilvl w:val="0"/>
          <w:numId w:val="26"/>
        </w:numPr>
      </w:pPr>
      <m:oMath>
        <m:r>
          <w:rPr>
            <w:rFonts w:ascii="Cambria Math" w:hAnsi="Cambria Math"/>
          </w:rPr>
          <m:t>g</m:t>
        </m:r>
      </m:oMath>
      <w:r>
        <w:t xml:space="preserve"> : the accepted value</w:t>
      </w:r>
      <w:r w:rsidR="00191D1A">
        <w:t xml:space="preserve"> of</w:t>
      </w:r>
      <w:r>
        <w:t xml:space="preserve"> (9.81 ± 0.01)m/s</w:t>
      </w:r>
      <w:r w:rsidRPr="003F427C">
        <w:rPr>
          <w:vertAlign w:val="superscript"/>
        </w:rPr>
        <w:t>2</w:t>
      </w:r>
      <w:r>
        <w:rPr>
          <w:vertAlign w:val="superscript"/>
        </w:rPr>
        <w:tab/>
      </w:r>
      <w:r>
        <w:rPr>
          <w:vertAlign w:val="superscript"/>
        </w:rPr>
        <w:br/>
      </w:r>
    </w:p>
    <w:p w14:paraId="4228241F" w14:textId="77777777" w:rsidR="00191D1A" w:rsidRDefault="003F427C" w:rsidP="003F427C">
      <w:pPr>
        <w:pStyle w:val="ListParagraph"/>
        <w:numPr>
          <w:ilvl w:val="0"/>
          <w:numId w:val="26"/>
        </w:numPr>
      </w:pPr>
      <m:oMath>
        <m:r>
          <w:rPr>
            <w:rFonts w:ascii="Cambria Math" w:hAnsi="Cambria Math"/>
          </w:rPr>
          <m:t>g</m:t>
        </m:r>
      </m:oMath>
      <w:r w:rsidRPr="00191D1A">
        <w:rPr>
          <w:vertAlign w:val="subscript"/>
        </w:rPr>
        <w:t>exp.1</w:t>
      </w:r>
      <w:r>
        <w:t xml:space="preserve"> </w:t>
      </w:r>
      <w:r w:rsidR="00191D1A">
        <w:t xml:space="preserve">: the first experimental value of </w:t>
      </w:r>
      <w:r w:rsidR="001301BB">
        <w:t>(9.74 ± 0.08)</w:t>
      </w:r>
      <w:r>
        <w:t>m/s</w:t>
      </w:r>
      <w:r w:rsidRPr="00191D1A">
        <w:rPr>
          <w:vertAlign w:val="superscript"/>
        </w:rPr>
        <w:t>2</w:t>
      </w:r>
      <w:r>
        <w:tab/>
      </w:r>
      <w:r w:rsidR="00191D1A">
        <w:br/>
      </w:r>
    </w:p>
    <w:p w14:paraId="42282420" w14:textId="77777777" w:rsidR="003F427C" w:rsidRDefault="00191D1A" w:rsidP="003F427C">
      <w:pPr>
        <w:pStyle w:val="ListParagraph"/>
        <w:numPr>
          <w:ilvl w:val="0"/>
          <w:numId w:val="26"/>
        </w:numPr>
      </w:pPr>
      <m:oMath>
        <m:r>
          <w:rPr>
            <w:rFonts w:ascii="Cambria Math" w:hAnsi="Cambria Math"/>
          </w:rPr>
          <m:t>g</m:t>
        </m:r>
      </m:oMath>
      <w:r>
        <w:rPr>
          <w:vertAlign w:val="subscript"/>
        </w:rPr>
        <w:t>exp.</w:t>
      </w:r>
      <w:r w:rsidRPr="00191D1A">
        <w:rPr>
          <w:vertAlign w:val="subscript"/>
        </w:rPr>
        <w:t>2</w:t>
      </w:r>
      <w:r>
        <w:t xml:space="preserve"> : the second experimental value of (9.86 ± 0.02</w:t>
      </w:r>
      <w:r w:rsidR="001301BB">
        <w:t>)</w:t>
      </w:r>
      <w:r>
        <w:t>m/s</w:t>
      </w:r>
      <w:r w:rsidRPr="00191D1A">
        <w:rPr>
          <w:vertAlign w:val="superscript"/>
        </w:rPr>
        <w:t>2</w:t>
      </w:r>
      <w:r>
        <w:rPr>
          <w:vertAlign w:val="superscript"/>
        </w:rPr>
        <w:tab/>
      </w:r>
      <w:r w:rsidR="003F427C">
        <w:br/>
      </w:r>
    </w:p>
    <w:p w14:paraId="42282421" w14:textId="77777777" w:rsidR="003F427C" w:rsidRDefault="003F427C" w:rsidP="003F427C">
      <w:r>
        <w:t xml:space="preserve">The </w:t>
      </w:r>
      <w:r w:rsidRPr="00A16888">
        <w:t>diagram below</w:t>
      </w:r>
      <w:r>
        <w:t xml:space="preserve"> demonstrates the range of each value</w:t>
      </w:r>
      <w:r w:rsidR="00191D1A">
        <w:t>:</w:t>
      </w:r>
    </w:p>
    <w:p w14:paraId="42282422" w14:textId="77777777" w:rsidR="00A16888" w:rsidRDefault="00A16888" w:rsidP="003F427C"/>
    <w:p w14:paraId="42282423" w14:textId="77777777" w:rsidR="003F427C" w:rsidRDefault="00F77C34" w:rsidP="00A16888">
      <w:pPr>
        <w:jc w:val="center"/>
      </w:pPr>
      <w:r>
        <w:rPr>
          <w:noProof/>
          <w:lang w:eastAsia="en-CA"/>
        </w:rPr>
        <w:drawing>
          <wp:inline distT="0" distB="0" distL="0" distR="0" wp14:anchorId="42282451" wp14:editId="42282452">
            <wp:extent cx="2846597" cy="9265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tative_comparison.png"/>
                    <pic:cNvPicPr/>
                  </pic:nvPicPr>
                  <pic:blipFill>
                    <a:blip r:embed="rId12">
                      <a:extLst>
                        <a:ext uri="{28A0092B-C50C-407E-A947-70E740481C1C}">
                          <a14:useLocalDpi xmlns:a14="http://schemas.microsoft.com/office/drawing/2010/main" val="0"/>
                        </a:ext>
                      </a:extLst>
                    </a:blip>
                    <a:stretch>
                      <a:fillRect/>
                    </a:stretch>
                  </pic:blipFill>
                  <pic:spPr>
                    <a:xfrm>
                      <a:off x="0" y="0"/>
                      <a:ext cx="2846597" cy="926515"/>
                    </a:xfrm>
                    <a:prstGeom prst="rect">
                      <a:avLst/>
                    </a:prstGeom>
                  </pic:spPr>
                </pic:pic>
              </a:graphicData>
            </a:graphic>
          </wp:inline>
        </w:drawing>
      </w:r>
    </w:p>
    <w:p w14:paraId="42282424" w14:textId="77777777" w:rsidR="00A16888" w:rsidRDefault="00A16888" w:rsidP="00A16888">
      <w:pPr>
        <w:jc w:val="center"/>
      </w:pPr>
    </w:p>
    <w:p w14:paraId="42282425" w14:textId="77777777" w:rsidR="003F427C" w:rsidRDefault="00504A8C" w:rsidP="003F427C">
      <w:r>
        <w:t xml:space="preserve">The value of </w:t>
      </w:r>
      <m:oMath>
        <m:r>
          <w:rPr>
            <w:rFonts w:ascii="Cambria Math" w:hAnsi="Cambria Math"/>
          </w:rPr>
          <m:t>g</m:t>
        </m:r>
      </m:oMath>
      <w:r w:rsidRPr="00191D1A">
        <w:rPr>
          <w:vertAlign w:val="subscript"/>
        </w:rPr>
        <w:t>exp.1</w:t>
      </w:r>
      <w:r w:rsidR="003F427C">
        <w:t xml:space="preserve"> corre</w:t>
      </w:r>
      <w:r>
        <w:t xml:space="preserve">sponds to the accepted </w:t>
      </w:r>
      <w:proofErr w:type="gramStart"/>
      <w:r>
        <w:t xml:space="preserve">value </w:t>
      </w:r>
      <w:proofErr w:type="gramEnd"/>
      <m:oMath>
        <m:r>
          <w:rPr>
            <w:rFonts w:ascii="Cambria Math" w:hAnsi="Cambria Math"/>
          </w:rPr>
          <m:t>g</m:t>
        </m:r>
      </m:oMath>
      <w:r w:rsidR="003F427C">
        <w:t xml:space="preserve">.  Therefore we say that </w:t>
      </w:r>
      <m:oMath>
        <m:r>
          <w:rPr>
            <w:rFonts w:ascii="Cambria Math" w:hAnsi="Cambria Math"/>
          </w:rPr>
          <m:t>g</m:t>
        </m:r>
      </m:oMath>
      <w:r w:rsidRPr="00191D1A">
        <w:rPr>
          <w:vertAlign w:val="subscript"/>
        </w:rPr>
        <w:t>exp.1</w:t>
      </w:r>
      <w:r w:rsidR="003F427C">
        <w:t xml:space="preserve"> </w:t>
      </w:r>
      <m:oMath>
        <m:r>
          <w:rPr>
            <w:rFonts w:ascii="Cambria Math" w:hAnsi="Cambria Math"/>
          </w:rPr>
          <m:t>= g</m:t>
        </m:r>
      </m:oMath>
      <w:r w:rsidR="003F427C">
        <w:t xml:space="preserve"> and that experimentalist #1 was able to measure the gravitational constant.  The value is within the resolution (uncertainty range) of the instruments used.</w:t>
      </w:r>
    </w:p>
    <w:p w14:paraId="42282426" w14:textId="77777777" w:rsidR="003F427C" w:rsidRDefault="003F427C" w:rsidP="003F427C"/>
    <w:p w14:paraId="42282427" w14:textId="77777777" w:rsidR="003F427C" w:rsidRDefault="003F427C" w:rsidP="003F427C">
      <w:r>
        <w:t>However</w:t>
      </w:r>
      <w:r w:rsidR="00504A8C">
        <w:t>,</w:t>
      </w:r>
      <w:r>
        <w:t xml:space="preserve"> the value </w:t>
      </w:r>
      <m:oMath>
        <m:r>
          <w:rPr>
            <w:rFonts w:ascii="Cambria Math" w:hAnsi="Cambria Math"/>
          </w:rPr>
          <m:t>g</m:t>
        </m:r>
      </m:oMath>
      <w:r w:rsidR="00504A8C">
        <w:rPr>
          <w:vertAlign w:val="subscript"/>
        </w:rPr>
        <w:t>exp.</w:t>
      </w:r>
      <w:r w:rsidR="00504A8C" w:rsidRPr="00191D1A">
        <w:rPr>
          <w:vertAlign w:val="subscript"/>
        </w:rPr>
        <w:t>2</w:t>
      </w:r>
      <w:r w:rsidR="00504A8C">
        <w:t xml:space="preserve"> does not correspond to either </w:t>
      </w:r>
      <m:oMath>
        <m:r>
          <w:rPr>
            <w:rFonts w:ascii="Cambria Math" w:hAnsi="Cambria Math"/>
          </w:rPr>
          <m:t>g</m:t>
        </m:r>
      </m:oMath>
      <w:r>
        <w:t xml:space="preserve"> or </w:t>
      </w:r>
      <m:oMath>
        <m:r>
          <w:rPr>
            <w:rFonts w:ascii="Cambria Math" w:hAnsi="Cambria Math"/>
          </w:rPr>
          <m:t>g</m:t>
        </m:r>
      </m:oMath>
      <w:r w:rsidR="00504A8C">
        <w:rPr>
          <w:vertAlign w:val="subscript"/>
        </w:rPr>
        <w:t>exp.1</w:t>
      </w:r>
      <w:r w:rsidR="00504A8C">
        <w:t>.</w:t>
      </w:r>
      <w:r>
        <w:t xml:space="preserve"> With instruments having a combined resolution (precision) of four times that of experimentalist #1, experimentalist #2 is unable to measure the correct value for the gravitational cons</w:t>
      </w:r>
      <w:r w:rsidR="00504A8C">
        <w:t>tant.</w:t>
      </w:r>
      <w:r>
        <w:t xml:space="preserve"> Since the value </w:t>
      </w:r>
      <m:oMath>
        <m:r>
          <w:rPr>
            <w:rFonts w:ascii="Cambria Math" w:hAnsi="Cambria Math"/>
          </w:rPr>
          <m:t>g</m:t>
        </m:r>
      </m:oMath>
      <w:r w:rsidR="00504A8C">
        <w:rPr>
          <w:vertAlign w:val="subscript"/>
        </w:rPr>
        <w:t>exp.</w:t>
      </w:r>
      <w:r w:rsidR="00504A8C" w:rsidRPr="00191D1A">
        <w:rPr>
          <w:vertAlign w:val="subscript"/>
        </w:rPr>
        <w:t>2</w:t>
      </w:r>
      <w:r w:rsidR="00504A8C">
        <w:t xml:space="preserve"> i</w:t>
      </w:r>
      <w:r>
        <w:t>s shifted with respect to the true value due to systematic errors.  Experimentalist #2 either uses a poor experimental technique or improperly calibrated instruments.</w:t>
      </w:r>
    </w:p>
    <w:p w14:paraId="42282428" w14:textId="77777777" w:rsidR="005B2BD9" w:rsidRPr="003F427C" w:rsidRDefault="005B2BD9" w:rsidP="003F427C"/>
    <w:p w14:paraId="42282429" w14:textId="77777777" w:rsidR="006573E1" w:rsidRDefault="00E31A95" w:rsidP="00977B6F">
      <w:pPr>
        <w:pStyle w:val="Heading2"/>
      </w:pPr>
      <w:bookmarkStart w:id="16" w:name="_Toc381600956"/>
      <w:r>
        <w:lastRenderedPageBreak/>
        <w:t>Significant f</w:t>
      </w:r>
      <w:r w:rsidRPr="00E31A95">
        <w:t>igures</w:t>
      </w:r>
      <w:bookmarkEnd w:id="16"/>
    </w:p>
    <w:p w14:paraId="4228242A" w14:textId="77777777" w:rsidR="000A1878" w:rsidRPr="006E388E" w:rsidRDefault="00834298" w:rsidP="00977B6F">
      <w:pPr>
        <w:pStyle w:val="Heading3"/>
      </w:pPr>
      <w:r w:rsidRPr="00977B6F">
        <w:t>Rounding</w:t>
      </w:r>
      <w:r w:rsidRPr="006E388E">
        <w:t xml:space="preserve"> o</w:t>
      </w:r>
      <w:r w:rsidR="000A1878" w:rsidRPr="006E388E">
        <w:t>ff</w:t>
      </w:r>
    </w:p>
    <w:p w14:paraId="4228242B" w14:textId="77777777" w:rsidR="000A1878" w:rsidRDefault="000A1878" w:rsidP="000A1878">
      <w:pPr>
        <w:pStyle w:val="Important"/>
      </w:pPr>
      <w:r w:rsidRPr="00E609A7">
        <w:sym w:font="Wingdings" w:char="F0D8"/>
      </w:r>
      <w:r w:rsidRPr="00E609A7">
        <w:t xml:space="preserve"> </w:t>
      </w:r>
      <w:r w:rsidRPr="00E609A7">
        <w:tab/>
      </w:r>
      <w:r>
        <w:t xml:space="preserve">If a number (the one that </w:t>
      </w:r>
      <w:r w:rsidRPr="000A1878">
        <w:rPr>
          <w:i/>
        </w:rPr>
        <w:t>causes</w:t>
      </w:r>
      <w:r>
        <w:t xml:space="preserve"> the rounding) is GREATER or EQUAL to 5 then you ROUND UP otherwise you ROUND DOWN.</w:t>
      </w:r>
    </w:p>
    <w:p w14:paraId="4228242C" w14:textId="77777777" w:rsidR="000A1878" w:rsidRDefault="000A1878" w:rsidP="000A1878"/>
    <w:p w14:paraId="4228242D" w14:textId="77777777" w:rsidR="000A1878" w:rsidRDefault="000A1878" w:rsidP="000A1878">
      <w:proofErr w:type="gramStart"/>
      <w:r>
        <w:t>Ex. Round off 44.68 to the first decimal place.</w:t>
      </w:r>
      <w:proofErr w:type="gramEnd"/>
      <w:r>
        <w:t xml:space="preserve"> </w:t>
      </w:r>
      <w:r>
        <w:tab/>
      </w:r>
      <w:r>
        <w:sym w:font="Wingdings" w:char="F0F0"/>
      </w:r>
      <w:r>
        <w:tab/>
        <w:t>Answer: 44.7</w:t>
      </w:r>
    </w:p>
    <w:p w14:paraId="4228242E" w14:textId="77777777" w:rsidR="000A1878" w:rsidRDefault="000A1878" w:rsidP="000A1878"/>
    <w:p w14:paraId="4228242F" w14:textId="77777777" w:rsidR="000A1878" w:rsidRDefault="000A1878" w:rsidP="000A1878">
      <w:proofErr w:type="gramStart"/>
      <w:r>
        <w:t>Ex. Round off 13.96 to the first decimal place.</w:t>
      </w:r>
      <w:proofErr w:type="gramEnd"/>
      <w:r>
        <w:t xml:space="preserve"> </w:t>
      </w:r>
      <w:r>
        <w:tab/>
      </w:r>
      <w:r>
        <w:sym w:font="Wingdings" w:char="F0F0"/>
      </w:r>
      <w:r>
        <w:tab/>
        <w:t>Answer: 14.0</w:t>
      </w:r>
    </w:p>
    <w:p w14:paraId="42282430" w14:textId="77777777" w:rsidR="000A1878" w:rsidRDefault="000A1878" w:rsidP="000A1878"/>
    <w:p w14:paraId="42282431" w14:textId="77777777" w:rsidR="000A1878" w:rsidRDefault="000A1878" w:rsidP="000A1878">
      <w:proofErr w:type="gramStart"/>
      <w:r>
        <w:t>Ex. Round off 0.0034 to the third decimal place.</w:t>
      </w:r>
      <w:proofErr w:type="gramEnd"/>
      <w:r>
        <w:t xml:space="preserve"> </w:t>
      </w:r>
      <w:r>
        <w:tab/>
      </w:r>
      <w:r>
        <w:sym w:font="Wingdings" w:char="F0F0"/>
      </w:r>
      <w:r>
        <w:tab/>
        <w:t>Answer: 0.003</w:t>
      </w:r>
    </w:p>
    <w:p w14:paraId="42282432" w14:textId="77777777" w:rsidR="000A1878" w:rsidRDefault="000A1878" w:rsidP="000A1878"/>
    <w:p w14:paraId="42282433" w14:textId="77777777" w:rsidR="000A1878" w:rsidRDefault="000A1878" w:rsidP="000A1878">
      <w:proofErr w:type="gramStart"/>
      <w:r>
        <w:t>Ex. Round off 123.545 to 2 decimal places.</w:t>
      </w:r>
      <w:proofErr w:type="gramEnd"/>
      <w:r>
        <w:t xml:space="preserve"> </w:t>
      </w:r>
      <w:r>
        <w:tab/>
      </w:r>
      <w:r>
        <w:tab/>
      </w:r>
      <w:r>
        <w:sym w:font="Wingdings" w:char="F0F0"/>
      </w:r>
      <w:r>
        <w:tab/>
        <w:t>I</w:t>
      </w:r>
      <w:r w:rsidR="00B66513">
        <w:t>s it closer to 123.54 or 123.55</w:t>
      </w:r>
      <w:r>
        <w:t xml:space="preserve">? </w:t>
      </w:r>
    </w:p>
    <w:p w14:paraId="42282434" w14:textId="77777777" w:rsidR="000A1878" w:rsidRDefault="000A1878" w:rsidP="000A1878"/>
    <w:p w14:paraId="42282435" w14:textId="77777777" w:rsidR="000A1878" w:rsidRPr="000A1878" w:rsidRDefault="000A1878" w:rsidP="002E6F94">
      <w:r w:rsidRPr="000A1878">
        <w:t>This last example is the only slightly tricky situation. There are various approaches to rounding off numbers ending with 5. To avoid being bias when dealing with a large number of measurements we use the following rule: if the number preceding the 5 is even we round down; if the number preceding the 5 is odd we round up (or vice versa). When dealing with a small number of measurements as in the case of first year labs the latter rule is irrelevant. For simplicity we stick with the first rule mentioned above which states that if the number causing the rounding is greater or equal to 5, you round up regardless of the preceding number’s value. This is especially important when rounding off uncertainties to avoid under estimating the uncertainty.</w:t>
      </w:r>
    </w:p>
    <w:p w14:paraId="42282436" w14:textId="77777777" w:rsidR="000A1878" w:rsidRDefault="000A1878" w:rsidP="000A1878"/>
    <w:p w14:paraId="42282437" w14:textId="77777777" w:rsidR="000A1878" w:rsidRDefault="000A1878" w:rsidP="000A1878">
      <w:pPr>
        <w:pStyle w:val="ListParagraph"/>
        <w:numPr>
          <w:ilvl w:val="0"/>
          <w:numId w:val="27"/>
        </w:numPr>
      </w:pPr>
      <w:r>
        <w:t>Therefore the answer that we want is 123.55</w:t>
      </w:r>
      <w:r w:rsidR="002E6F94">
        <w:t xml:space="preserve">. </w:t>
      </w:r>
    </w:p>
    <w:p w14:paraId="42282438" w14:textId="77777777" w:rsidR="00834298" w:rsidRDefault="00834298" w:rsidP="00834298"/>
    <w:p w14:paraId="42282439" w14:textId="77777777" w:rsidR="00834298" w:rsidRDefault="00834298" w:rsidP="00977B6F">
      <w:pPr>
        <w:pStyle w:val="Heading3"/>
      </w:pPr>
      <w:r>
        <w:t>Rules for significant figures</w:t>
      </w:r>
    </w:p>
    <w:p w14:paraId="4228243A" w14:textId="77777777" w:rsidR="00834298" w:rsidRDefault="00834298" w:rsidP="00834298">
      <w:pPr>
        <w:pStyle w:val="ListParagraph"/>
        <w:numPr>
          <w:ilvl w:val="0"/>
          <w:numId w:val="28"/>
        </w:numPr>
        <w:jc w:val="left"/>
      </w:pPr>
      <w:r>
        <w:t xml:space="preserve">All nonzero digits are significant. </w:t>
      </w:r>
      <w:r>
        <w:tab/>
      </w:r>
      <w:r>
        <w:br/>
      </w:r>
      <w:r>
        <w:tab/>
        <w:t xml:space="preserve">Ex.: 127.34 </w:t>
      </w:r>
      <w:proofErr w:type="gramStart"/>
      <w:r>
        <w:t>has</w:t>
      </w:r>
      <w:proofErr w:type="gramEnd"/>
      <w:r>
        <w:t xml:space="preserve"> 5 significant digits.</w:t>
      </w:r>
      <w:r>
        <w:tab/>
      </w:r>
      <w:r>
        <w:br/>
      </w:r>
    </w:p>
    <w:p w14:paraId="4228243B" w14:textId="77777777" w:rsidR="00834298" w:rsidRDefault="00834298" w:rsidP="00834298">
      <w:pPr>
        <w:pStyle w:val="ListParagraph"/>
        <w:numPr>
          <w:ilvl w:val="0"/>
          <w:numId w:val="28"/>
        </w:numPr>
        <w:jc w:val="left"/>
      </w:pPr>
      <w:r>
        <w:t xml:space="preserve">All zeros between nonzero digits are significant. </w:t>
      </w:r>
      <w:r>
        <w:tab/>
      </w:r>
      <w:r>
        <w:br/>
      </w:r>
      <w:r>
        <w:tab/>
        <w:t xml:space="preserve">Ex.: 120.000 has </w:t>
      </w:r>
      <w:r w:rsidR="00EB40A3">
        <w:t>6</w:t>
      </w:r>
      <w:r>
        <w:t xml:space="preserve"> significant digits.  </w:t>
      </w:r>
      <w:r>
        <w:tab/>
      </w:r>
      <w:r>
        <w:br/>
      </w:r>
    </w:p>
    <w:p w14:paraId="4228243C" w14:textId="77777777" w:rsidR="00834298" w:rsidRDefault="00834298" w:rsidP="00834298">
      <w:pPr>
        <w:pStyle w:val="ListParagraph"/>
        <w:numPr>
          <w:ilvl w:val="0"/>
          <w:numId w:val="28"/>
        </w:numPr>
        <w:jc w:val="left"/>
      </w:pPr>
      <w:r>
        <w:t xml:space="preserve">Zeroes to the left of the first nonzero digits are not significant; such zeroes merely indicate the position of the decimal point. </w:t>
      </w:r>
      <w:r>
        <w:tab/>
      </w:r>
      <w:r>
        <w:br/>
      </w:r>
      <w:r>
        <w:tab/>
        <w:t>Ex.: 0.0012 has 2 significant digits.</w:t>
      </w:r>
      <w:r>
        <w:tab/>
      </w:r>
      <w:r>
        <w:br/>
      </w:r>
    </w:p>
    <w:p w14:paraId="4228243D" w14:textId="77777777" w:rsidR="00834298" w:rsidRDefault="00834298" w:rsidP="00834298">
      <w:pPr>
        <w:pStyle w:val="ListParagraph"/>
        <w:numPr>
          <w:ilvl w:val="0"/>
          <w:numId w:val="28"/>
        </w:numPr>
        <w:jc w:val="left"/>
      </w:pPr>
      <w:r>
        <w:t>Zeroes to the right of a decimal point in a number are significant.</w:t>
      </w:r>
      <w:r>
        <w:tab/>
      </w:r>
      <w:r>
        <w:br/>
      </w:r>
      <w:r>
        <w:tab/>
        <w:t>Ex.: 0.400 has 3 significant digits.</w:t>
      </w:r>
      <w:r>
        <w:tab/>
      </w:r>
      <w:r>
        <w:br/>
      </w:r>
    </w:p>
    <w:p w14:paraId="4228243E" w14:textId="77777777" w:rsidR="00834298" w:rsidRPr="00834298" w:rsidRDefault="00834298" w:rsidP="00834298">
      <w:pPr>
        <w:pStyle w:val="ListParagraph"/>
        <w:numPr>
          <w:ilvl w:val="0"/>
          <w:numId w:val="28"/>
        </w:numPr>
        <w:jc w:val="left"/>
        <w:rPr>
          <w:lang w:val="fr-CA"/>
        </w:rPr>
      </w:pPr>
      <w:r>
        <w:t>When a number ends in zeroes that are not to the right of a decimal point, the zeroes are not necessarily significant.</w:t>
      </w:r>
      <w:r>
        <w:tab/>
      </w:r>
      <w:r>
        <w:br/>
      </w:r>
      <w:r>
        <w:tab/>
        <w:t>Ex.: 1900 may have</w:t>
      </w:r>
      <w:r w:rsidR="004D7EE1">
        <w:t xml:space="preserve"> 2, 3 or 4 signi</w:t>
      </w:r>
      <w:r>
        <w:t>ficant digits.</w:t>
      </w:r>
      <w:r>
        <w:tab/>
      </w:r>
      <w:r>
        <w:br/>
      </w:r>
      <w:r>
        <w:br/>
        <w:t>To eliminate this ambiguity express your value in terms of scientific notation.</w:t>
      </w:r>
      <w:r>
        <w:tab/>
      </w:r>
      <w:r>
        <w:br/>
      </w:r>
      <w:r>
        <w:tab/>
      </w:r>
      <w:r w:rsidRPr="00834298">
        <w:rPr>
          <w:lang w:val="fr-CA"/>
        </w:rPr>
        <w:t>Ex.: 1.900×10</w:t>
      </w:r>
      <w:r w:rsidRPr="008C5CE1">
        <w:rPr>
          <w:vertAlign w:val="superscript"/>
          <w:lang w:val="fr-CA"/>
        </w:rPr>
        <w:t>3</w:t>
      </w:r>
      <w:r w:rsidRPr="00834298">
        <w:rPr>
          <w:lang w:val="fr-CA"/>
        </w:rPr>
        <w:tab/>
        <w:t xml:space="preserve">has 4 </w:t>
      </w:r>
      <w:proofErr w:type="spellStart"/>
      <w:r w:rsidR="004D7EE1" w:rsidRPr="004D7EE1">
        <w:rPr>
          <w:lang w:val="fr-CA"/>
        </w:rPr>
        <w:t>significant</w:t>
      </w:r>
      <w:proofErr w:type="spellEnd"/>
      <w:r w:rsidR="004D7EE1" w:rsidRPr="004D7EE1">
        <w:rPr>
          <w:lang w:val="fr-CA"/>
        </w:rPr>
        <w:t xml:space="preserve"> </w:t>
      </w:r>
      <w:r w:rsidRPr="00834298">
        <w:rPr>
          <w:lang w:val="fr-CA"/>
        </w:rPr>
        <w:t>digits</w:t>
      </w:r>
      <w:r>
        <w:rPr>
          <w:lang w:val="fr-CA"/>
        </w:rPr>
        <w:t>.</w:t>
      </w:r>
      <w:r w:rsidRPr="00834298">
        <w:rPr>
          <w:lang w:val="fr-CA"/>
        </w:rPr>
        <w:tab/>
      </w:r>
      <w:r w:rsidRPr="00834298">
        <w:rPr>
          <w:lang w:val="fr-CA"/>
        </w:rPr>
        <w:br/>
      </w:r>
      <w:r w:rsidRPr="00834298">
        <w:rPr>
          <w:lang w:val="fr-CA"/>
        </w:rPr>
        <w:tab/>
        <w:t>Ex.: 1.90×10</w:t>
      </w:r>
      <w:r w:rsidRPr="008C5CE1">
        <w:rPr>
          <w:vertAlign w:val="superscript"/>
          <w:lang w:val="fr-CA"/>
        </w:rPr>
        <w:t>3</w:t>
      </w:r>
      <w:r w:rsidRPr="00834298">
        <w:rPr>
          <w:lang w:val="fr-CA"/>
        </w:rPr>
        <w:tab/>
      </w:r>
      <w:r>
        <w:rPr>
          <w:lang w:val="fr-CA"/>
        </w:rPr>
        <w:t xml:space="preserve">has </w:t>
      </w:r>
      <w:r w:rsidRPr="00834298">
        <w:rPr>
          <w:lang w:val="fr-CA"/>
        </w:rPr>
        <w:t xml:space="preserve">3 </w:t>
      </w:r>
      <w:proofErr w:type="spellStart"/>
      <w:r w:rsidR="004D7EE1" w:rsidRPr="004D7EE1">
        <w:rPr>
          <w:lang w:val="fr-CA"/>
        </w:rPr>
        <w:t>significant</w:t>
      </w:r>
      <w:proofErr w:type="spellEnd"/>
      <w:r w:rsidR="004D7EE1" w:rsidRPr="004D7EE1">
        <w:rPr>
          <w:lang w:val="fr-CA"/>
        </w:rPr>
        <w:t xml:space="preserve"> </w:t>
      </w:r>
      <w:r w:rsidRPr="00834298">
        <w:rPr>
          <w:lang w:val="fr-CA"/>
        </w:rPr>
        <w:t>digits</w:t>
      </w:r>
      <w:r>
        <w:rPr>
          <w:lang w:val="fr-CA"/>
        </w:rPr>
        <w:t>.</w:t>
      </w:r>
      <w:r w:rsidRPr="00834298">
        <w:rPr>
          <w:lang w:val="fr-CA"/>
        </w:rPr>
        <w:br/>
      </w:r>
      <w:r w:rsidRPr="00834298">
        <w:rPr>
          <w:lang w:val="fr-CA"/>
        </w:rPr>
        <w:tab/>
        <w:t>Ex.: 1.9×10</w:t>
      </w:r>
      <w:r w:rsidRPr="008C5CE1">
        <w:rPr>
          <w:vertAlign w:val="superscript"/>
          <w:lang w:val="fr-CA"/>
        </w:rPr>
        <w:t>3</w:t>
      </w:r>
      <w:r w:rsidRPr="00834298">
        <w:rPr>
          <w:lang w:val="fr-CA"/>
        </w:rPr>
        <w:tab/>
      </w:r>
      <w:r>
        <w:rPr>
          <w:lang w:val="fr-CA"/>
        </w:rPr>
        <w:t xml:space="preserve">has </w:t>
      </w:r>
      <w:r w:rsidRPr="00834298">
        <w:rPr>
          <w:lang w:val="fr-CA"/>
        </w:rPr>
        <w:t xml:space="preserve">2 </w:t>
      </w:r>
      <w:proofErr w:type="spellStart"/>
      <w:r w:rsidR="004D7EE1" w:rsidRPr="00257B70">
        <w:rPr>
          <w:lang w:val="fr-CA"/>
        </w:rPr>
        <w:t>significant</w:t>
      </w:r>
      <w:proofErr w:type="spellEnd"/>
      <w:r w:rsidR="004D7EE1" w:rsidRPr="00257B70">
        <w:rPr>
          <w:lang w:val="fr-CA"/>
        </w:rPr>
        <w:t xml:space="preserve"> </w:t>
      </w:r>
      <w:r w:rsidRPr="00834298">
        <w:rPr>
          <w:lang w:val="fr-CA"/>
        </w:rPr>
        <w:t>digits</w:t>
      </w:r>
      <w:r>
        <w:rPr>
          <w:lang w:val="fr-CA"/>
        </w:rPr>
        <w:t>.</w:t>
      </w:r>
    </w:p>
    <w:p w14:paraId="4228243F" w14:textId="77777777" w:rsidR="004D7EE1" w:rsidRPr="00257B70" w:rsidRDefault="004D7EE1">
      <w:pPr>
        <w:autoSpaceDE/>
        <w:autoSpaceDN/>
        <w:adjustRightInd/>
        <w:spacing w:after="200" w:line="276" w:lineRule="auto"/>
        <w:jc w:val="left"/>
        <w:textAlignment w:val="auto"/>
        <w:rPr>
          <w:b/>
          <w:color w:val="365F91" w:themeColor="accent1" w:themeShade="BF"/>
          <w:sz w:val="28"/>
          <w:szCs w:val="28"/>
          <w:lang w:val="fr-CA"/>
        </w:rPr>
      </w:pPr>
      <w:r w:rsidRPr="00257B70">
        <w:rPr>
          <w:lang w:val="fr-CA"/>
        </w:rPr>
        <w:br w:type="page"/>
      </w:r>
    </w:p>
    <w:p w14:paraId="42282440" w14:textId="77777777" w:rsidR="001D4BEC" w:rsidRDefault="00E31A95" w:rsidP="00977B6F">
      <w:pPr>
        <w:pStyle w:val="Heading2"/>
      </w:pPr>
      <w:bookmarkStart w:id="17" w:name="_Toc381600957"/>
      <w:r>
        <w:lastRenderedPageBreak/>
        <w:t>Precision of e</w:t>
      </w:r>
      <w:r w:rsidRPr="00E31A95">
        <w:t>rrors</w:t>
      </w:r>
      <w:bookmarkEnd w:id="17"/>
    </w:p>
    <w:p w14:paraId="42282441" w14:textId="77777777" w:rsidR="001D4BEC" w:rsidRDefault="001D4BEC" w:rsidP="001D4BEC">
      <w:pPr>
        <w:pStyle w:val="Important"/>
      </w:pPr>
      <w:r w:rsidRPr="00E609A7">
        <w:sym w:font="Wingdings" w:char="F0D8"/>
      </w:r>
      <w:r w:rsidRPr="00E609A7">
        <w:t xml:space="preserve"> </w:t>
      </w:r>
      <w:r w:rsidRPr="00E609A7">
        <w:tab/>
      </w:r>
      <w:r>
        <w:t>The uncertainty on a measurement should only have ONE significant digit.</w:t>
      </w:r>
    </w:p>
    <w:p w14:paraId="42282442" w14:textId="77777777" w:rsidR="001D4BEC" w:rsidRDefault="001D4BEC" w:rsidP="001D4BEC"/>
    <w:p w14:paraId="42282443" w14:textId="514CE606" w:rsidR="001D4BEC" w:rsidRPr="00872B68" w:rsidRDefault="001D4BEC" w:rsidP="00872B68">
      <w:pPr>
        <w:tabs>
          <w:tab w:val="left" w:pos="993"/>
          <w:tab w:val="left" w:pos="1701"/>
        </w:tabs>
        <w:ind w:left="993" w:hanging="993"/>
        <w:jc w:val="left"/>
        <w:rPr>
          <w:rFonts w:eastAsiaTheme="minorEastAsia"/>
        </w:rPr>
      </w:pPr>
      <w:r>
        <w:t>Example 1:</w:t>
      </w:r>
      <w:r>
        <w:tab/>
        <w:t xml:space="preserve">Suppose a relative uncertainty of </w:t>
      </w:r>
      <m:oMath>
        <m:r>
          <w:rPr>
            <w:rFonts w:ascii="Cambria Math" w:hAnsi="Cambria Math"/>
          </w:rPr>
          <m:t>0.5%</m:t>
        </m:r>
      </m:oMath>
      <w:r>
        <w:t xml:space="preserve"> on the gravitational acceleration: </w:t>
      </w:r>
      <m:oMath>
        <m:r>
          <w:rPr>
            <w:rFonts w:ascii="Cambria Math" w:hAnsi="Cambria Math"/>
          </w:rPr>
          <m:t>g = 978.325</m:t>
        </m:r>
      </m:oMath>
      <w:r>
        <w:t>cm/</w:t>
      </w:r>
      <w:proofErr w:type="gramStart"/>
      <w:r>
        <w:t>s</w:t>
      </w:r>
      <w:r w:rsidRPr="001D4BEC">
        <w:rPr>
          <w:vertAlign w:val="superscript"/>
        </w:rPr>
        <w:t>2</w:t>
      </w:r>
      <w:r>
        <w:t xml:space="preserve"> </w:t>
      </w:r>
      <w:proofErr w:type="gramEnd"/>
      <m:oMath>
        <m:r>
          <w:rPr>
            <w:rFonts w:ascii="Cambria Math" w:hAnsi="Cambria Math"/>
          </w:rPr>
          <m:t>± 0.5%</m:t>
        </m:r>
      </m:oMath>
      <w:r>
        <w:rPr>
          <w:rFonts w:eastAsiaTheme="minorEastAsia"/>
        </w:rPr>
        <w:t xml:space="preserve">.  </w:t>
      </w:r>
      <w:r>
        <w:rPr>
          <w:rFonts w:eastAsiaTheme="minorEastAsia"/>
        </w:rPr>
        <w:br/>
      </w:r>
      <w:r>
        <w:rPr>
          <w:rFonts w:eastAsiaTheme="minorEastAsia"/>
        </w:rPr>
        <w:br/>
      </w:r>
      <w:r>
        <w:t xml:space="preserve">Step 1: </w:t>
      </w:r>
      <w:r w:rsidR="00872B68">
        <w:tab/>
      </w:r>
      <w:r>
        <w:t xml:space="preserve">Multiply the measurement </w:t>
      </w:r>
      <w:proofErr w:type="gramStart"/>
      <w:r>
        <w:t xml:space="preserve">by </w:t>
      </w:r>
      <w:proofErr w:type="gramEnd"/>
      <m:oMath>
        <m:r>
          <w:rPr>
            <w:rFonts w:ascii="Cambria Math" w:hAnsi="Cambria Math"/>
          </w:rPr>
          <m:t>0.5</m:t>
        </m:r>
        <w:bookmarkStart w:id="18" w:name="_GoBack"/>
        <w:bookmarkEnd w:id="18"/>
        <m:r>
          <w:rPr>
            <w:rFonts w:ascii="Cambria Math" w:hAnsi="Cambria Math"/>
          </w:rPr>
          <m:t>%</m:t>
        </m:r>
      </m:oMath>
      <w:r w:rsidR="00872B68">
        <w:rPr>
          <w:rFonts w:eastAsiaTheme="minorEastAsia"/>
        </w:rPr>
        <w:t>:</w:t>
      </w:r>
      <w:r>
        <w:rPr>
          <w:rFonts w:eastAsiaTheme="minorEastAsia"/>
        </w:rPr>
        <w:tab/>
      </w:r>
      <w:r>
        <w:rPr>
          <w:rFonts w:eastAsiaTheme="minorEastAsia"/>
        </w:rPr>
        <w:tab/>
      </w:r>
      <w:r>
        <w:rPr>
          <w:rFonts w:eastAsiaTheme="minorEastAsia"/>
        </w:rPr>
        <w:br/>
      </w:r>
      <w:r>
        <w:rPr>
          <w:rFonts w:eastAsiaTheme="minorEastAsia"/>
        </w:rPr>
        <w:tab/>
      </w:r>
      <w:r>
        <w:rPr>
          <w:rFonts w:eastAsiaTheme="minorEastAsia"/>
        </w:rPr>
        <w:tab/>
      </w:r>
      <w:r>
        <w:sym w:font="Wingdings" w:char="F0F0"/>
      </w:r>
      <w:r>
        <w:t xml:space="preserve"> </w:t>
      </w:r>
      <m:oMath>
        <m:r>
          <w:rPr>
            <w:rFonts w:ascii="Cambria Math" w:hAnsi="Cambria Math"/>
          </w:rPr>
          <m:t>(978.325 ± 4.891625)</m:t>
        </m:r>
      </m:oMath>
      <w:r>
        <w:t>cm/s</w:t>
      </w:r>
      <w:r w:rsidRPr="001D4BEC">
        <w:rPr>
          <w:vertAlign w:val="superscript"/>
        </w:rPr>
        <w:t>2</w:t>
      </w:r>
      <w:r w:rsidR="00872B68">
        <w:t>.</w:t>
      </w:r>
      <w:r>
        <w:rPr>
          <w:rFonts w:eastAsiaTheme="minorEastAsia"/>
        </w:rPr>
        <w:br/>
      </w:r>
      <w:r>
        <w:rPr>
          <w:rFonts w:eastAsiaTheme="minorEastAsia"/>
        </w:rPr>
        <w:br/>
      </w:r>
      <w:r>
        <w:t xml:space="preserve">Step 2: </w:t>
      </w:r>
      <w:r w:rsidR="00872B68">
        <w:tab/>
      </w:r>
      <w:r>
        <w:t>Round off the uncertainty to ONE significant digit</w:t>
      </w:r>
      <w:r w:rsidR="00872B68">
        <w:rPr>
          <w:rFonts w:eastAsiaTheme="minorEastAsia"/>
        </w:rPr>
        <w:t>:</w:t>
      </w:r>
      <w:r>
        <w:rPr>
          <w:rFonts w:eastAsiaTheme="minorEastAsia"/>
        </w:rPr>
        <w:br/>
      </w:r>
      <w:r>
        <w:rPr>
          <w:rFonts w:eastAsiaTheme="minorEastAsia"/>
        </w:rPr>
        <w:tab/>
      </w:r>
      <w:r>
        <w:rPr>
          <w:rFonts w:eastAsiaTheme="minorEastAsia"/>
        </w:rPr>
        <w:tab/>
      </w:r>
      <w:r>
        <w:sym w:font="Wingdings" w:char="F0F0"/>
      </w:r>
      <w:r w:rsidR="00872B68">
        <w:t xml:space="preserve"> </w:t>
      </w:r>
      <m:oMath>
        <m:r>
          <w:rPr>
            <w:rFonts w:ascii="Cambria Math" w:hAnsi="Cambria Math"/>
          </w:rPr>
          <m:t>(978.325 ± 5)</m:t>
        </m:r>
      </m:oMath>
      <w:r w:rsidR="00872B68">
        <w:t>cm/s</w:t>
      </w:r>
      <w:r w:rsidR="00872B68" w:rsidRPr="001D4BEC">
        <w:rPr>
          <w:vertAlign w:val="superscript"/>
        </w:rPr>
        <w:t>2</w:t>
      </w:r>
      <w:r w:rsidR="00872B68">
        <w:t>.</w:t>
      </w:r>
      <w:r>
        <w:rPr>
          <w:rFonts w:eastAsiaTheme="minorEastAsia"/>
        </w:rPr>
        <w:br/>
      </w:r>
      <w:r>
        <w:rPr>
          <w:rFonts w:eastAsiaTheme="minorEastAsia"/>
        </w:rPr>
        <w:br/>
      </w:r>
      <w:r>
        <w:t xml:space="preserve">Step 3: </w:t>
      </w:r>
      <w:r w:rsidR="00872B68">
        <w:tab/>
      </w:r>
      <w:r>
        <w:t>Round off the measured value such that it has the sam</w:t>
      </w:r>
      <w:r w:rsidR="00872B68">
        <w:t xml:space="preserve">e degree of precision as the </w:t>
      </w:r>
      <w:r w:rsidR="00872B68">
        <w:br/>
      </w:r>
      <w:r w:rsidR="00872B68">
        <w:rPr>
          <w:rFonts w:eastAsiaTheme="minorEastAsia"/>
        </w:rPr>
        <w:tab/>
      </w:r>
      <w:r>
        <w:t>uncertainty</w:t>
      </w:r>
      <w:r w:rsidR="00872B68">
        <w:t>:</w:t>
      </w:r>
      <w:r w:rsidR="00872B68">
        <w:br/>
      </w:r>
      <w:r w:rsidR="00872B68">
        <w:rPr>
          <w:rFonts w:eastAsiaTheme="minorEastAsia"/>
        </w:rPr>
        <w:tab/>
      </w:r>
      <w:r w:rsidR="00872B68">
        <w:rPr>
          <w:rFonts w:eastAsiaTheme="minorEastAsia"/>
        </w:rPr>
        <w:tab/>
      </w:r>
      <w:r w:rsidR="00872B68">
        <w:sym w:font="Wingdings" w:char="F0F0"/>
      </w:r>
      <w:r>
        <w:t xml:space="preserve"> </w:t>
      </w:r>
      <m:oMath>
        <m:r>
          <w:rPr>
            <w:rFonts w:ascii="Cambria Math" w:hAnsi="Cambria Math"/>
          </w:rPr>
          <m:t>(978 ± 5)</m:t>
        </m:r>
      </m:oMath>
      <w:r w:rsidR="00872B68">
        <w:t>cm/s</w:t>
      </w:r>
      <w:r w:rsidR="00872B68" w:rsidRPr="001D4BEC">
        <w:rPr>
          <w:vertAlign w:val="superscript"/>
        </w:rPr>
        <w:t>2</w:t>
      </w:r>
      <w:r w:rsidR="00872B68">
        <w:t xml:space="preserve">.  </w:t>
      </w:r>
      <w:r w:rsidR="00340512">
        <w:br/>
      </w:r>
      <w:r w:rsidR="00872B68">
        <w:br/>
      </w:r>
      <w:r w:rsidR="00340512">
        <w:rPr>
          <w:rFonts w:eastAsiaTheme="minorEastAsia"/>
        </w:rPr>
        <w:tab/>
      </w:r>
      <w:r>
        <w:t xml:space="preserve">A measurement can never have a greater precision than the uncertainty.  </w:t>
      </w:r>
    </w:p>
    <w:p w14:paraId="42282444" w14:textId="77777777" w:rsidR="001D4BEC" w:rsidRDefault="001D4BEC" w:rsidP="001D4BEC"/>
    <w:p w14:paraId="42282445" w14:textId="77777777" w:rsidR="00E2542C" w:rsidRDefault="00E2542C" w:rsidP="001D4BEC"/>
    <w:p w14:paraId="42282446" w14:textId="77777777" w:rsidR="00E2542C" w:rsidRPr="00872B68" w:rsidRDefault="00E2542C" w:rsidP="00E2542C">
      <w:pPr>
        <w:tabs>
          <w:tab w:val="left" w:pos="993"/>
          <w:tab w:val="left" w:pos="1701"/>
        </w:tabs>
        <w:ind w:left="993" w:hanging="993"/>
        <w:jc w:val="left"/>
        <w:rPr>
          <w:rFonts w:eastAsiaTheme="minorEastAsia"/>
        </w:rPr>
      </w:pPr>
      <w:r>
        <w:t>Example 2:</w:t>
      </w:r>
      <w:r>
        <w:tab/>
        <w:t xml:space="preserve">Suppose a relative uncertainty of </w:t>
      </w:r>
      <m:oMath>
        <m:r>
          <w:rPr>
            <w:rFonts w:ascii="Cambria Math" w:hAnsi="Cambria Math"/>
          </w:rPr>
          <m:t>2%</m:t>
        </m:r>
      </m:oMath>
      <w:r>
        <w:t xml:space="preserve"> on a measurement: </w:t>
      </w:r>
      <m:oMath>
        <m:r>
          <w:rPr>
            <w:rFonts w:ascii="Cambria Math" w:hAnsi="Cambria Math"/>
          </w:rPr>
          <m:t>x = 0.857</m:t>
        </m:r>
      </m:oMath>
      <w:proofErr w:type="gramStart"/>
      <w:r>
        <w:t xml:space="preserve">mm </w:t>
      </w:r>
      <w:proofErr w:type="gramEnd"/>
      <m:oMath>
        <m:r>
          <w:rPr>
            <w:rFonts w:ascii="Cambria Math" w:hAnsi="Cambria Math"/>
          </w:rPr>
          <m:t>± 2%</m:t>
        </m:r>
      </m:oMath>
      <w:r>
        <w:rPr>
          <w:rFonts w:eastAsiaTheme="minorEastAsia"/>
        </w:rPr>
        <w:t xml:space="preserve">.  </w:t>
      </w:r>
      <w:r>
        <w:rPr>
          <w:rFonts w:eastAsiaTheme="minorEastAsia"/>
        </w:rPr>
        <w:br/>
      </w:r>
      <w:r>
        <w:rPr>
          <w:rFonts w:eastAsiaTheme="minorEastAsia"/>
        </w:rPr>
        <w:br/>
      </w:r>
      <w:r>
        <w:t xml:space="preserve">Step 1: </w:t>
      </w:r>
      <w:r>
        <w:tab/>
        <w:t xml:space="preserve">Multiply the measurement </w:t>
      </w:r>
      <w:proofErr w:type="gramStart"/>
      <w:r>
        <w:t xml:space="preserve">by </w:t>
      </w:r>
      <w:proofErr w:type="gramEnd"/>
      <m:oMath>
        <m:r>
          <w:rPr>
            <w:rFonts w:ascii="Cambria Math" w:hAnsi="Cambria Math"/>
          </w:rPr>
          <m:t>2%</m:t>
        </m:r>
      </m:oMath>
      <w:r>
        <w:rPr>
          <w:rFonts w:eastAsiaTheme="minorEastAsia"/>
        </w:rPr>
        <w:t>:</w:t>
      </w:r>
      <w:r>
        <w:rPr>
          <w:rFonts w:eastAsiaTheme="minorEastAsia"/>
        </w:rPr>
        <w:tab/>
      </w:r>
      <w:r>
        <w:rPr>
          <w:rFonts w:eastAsiaTheme="minorEastAsia"/>
        </w:rPr>
        <w:tab/>
      </w:r>
      <w:r>
        <w:rPr>
          <w:rFonts w:eastAsiaTheme="minorEastAsia"/>
        </w:rPr>
        <w:br/>
      </w:r>
      <w:r>
        <w:rPr>
          <w:rFonts w:eastAsiaTheme="minorEastAsia"/>
        </w:rPr>
        <w:tab/>
      </w:r>
      <w:r>
        <w:rPr>
          <w:rFonts w:eastAsiaTheme="minorEastAsia"/>
        </w:rPr>
        <w:tab/>
      </w:r>
      <w:r>
        <w:sym w:font="Wingdings" w:char="F0F0"/>
      </w:r>
      <w:r>
        <w:t xml:space="preserve"> </w:t>
      </w:r>
      <m:oMath>
        <m:r>
          <w:rPr>
            <w:rFonts w:ascii="Cambria Math" w:hAnsi="Cambria Math"/>
          </w:rPr>
          <m:t>(0.857 ± 0.01714)</m:t>
        </m:r>
      </m:oMath>
      <w:r>
        <w:t>mm.</w:t>
      </w:r>
      <w:r>
        <w:rPr>
          <w:rFonts w:eastAsiaTheme="minorEastAsia"/>
        </w:rPr>
        <w:br/>
      </w:r>
      <w:r>
        <w:rPr>
          <w:rFonts w:eastAsiaTheme="minorEastAsia"/>
        </w:rPr>
        <w:br/>
      </w:r>
      <w:r>
        <w:t xml:space="preserve">Step 2: </w:t>
      </w:r>
      <w:r>
        <w:tab/>
        <w:t>Round off the uncertainty to ONE significant digit</w:t>
      </w:r>
      <w:r>
        <w:rPr>
          <w:rFonts w:eastAsiaTheme="minorEastAsia"/>
        </w:rPr>
        <w:t>:</w:t>
      </w:r>
      <w:r>
        <w:rPr>
          <w:rFonts w:eastAsiaTheme="minorEastAsia"/>
        </w:rPr>
        <w:br/>
      </w:r>
      <w:r>
        <w:rPr>
          <w:rFonts w:eastAsiaTheme="minorEastAsia"/>
        </w:rPr>
        <w:tab/>
      </w:r>
      <w:r>
        <w:rPr>
          <w:rFonts w:eastAsiaTheme="minorEastAsia"/>
        </w:rPr>
        <w:tab/>
      </w:r>
      <w:r>
        <w:sym w:font="Wingdings" w:char="F0F0"/>
      </w:r>
      <w:r>
        <w:t xml:space="preserve"> </w:t>
      </w:r>
      <m:oMath>
        <m:r>
          <w:rPr>
            <w:rFonts w:ascii="Cambria Math" w:hAnsi="Cambria Math"/>
          </w:rPr>
          <m:t>(0.857 ± 0.02)</m:t>
        </m:r>
      </m:oMath>
      <w:r>
        <w:t>mm.</w:t>
      </w:r>
      <w:r>
        <w:rPr>
          <w:rFonts w:eastAsiaTheme="minorEastAsia"/>
        </w:rPr>
        <w:br/>
      </w:r>
      <w:r>
        <w:rPr>
          <w:rFonts w:eastAsiaTheme="minorEastAsia"/>
        </w:rPr>
        <w:br/>
      </w:r>
      <w:r>
        <w:t xml:space="preserve">Step 3: </w:t>
      </w:r>
      <w:r>
        <w:tab/>
        <w:t xml:space="preserve">Round off the measured value such that it has the same degree of precision as the </w:t>
      </w:r>
      <w:r>
        <w:br/>
      </w:r>
      <w:r>
        <w:rPr>
          <w:rFonts w:eastAsiaTheme="minorEastAsia"/>
        </w:rPr>
        <w:tab/>
      </w:r>
      <w:r>
        <w:t>uncertainty:</w:t>
      </w:r>
      <w:r>
        <w:br/>
      </w:r>
      <w:r>
        <w:rPr>
          <w:rFonts w:eastAsiaTheme="minorEastAsia"/>
        </w:rPr>
        <w:tab/>
      </w:r>
      <w:r>
        <w:rPr>
          <w:rFonts w:eastAsiaTheme="minorEastAsia"/>
        </w:rPr>
        <w:tab/>
      </w:r>
      <w:r>
        <w:sym w:font="Wingdings" w:char="F0F0"/>
      </w:r>
      <w:r>
        <w:t xml:space="preserve"> </w:t>
      </w:r>
      <m:oMath>
        <m:r>
          <w:rPr>
            <w:rFonts w:ascii="Cambria Math" w:hAnsi="Cambria Math"/>
          </w:rPr>
          <m:t>(0.86 ± 0.02)</m:t>
        </m:r>
      </m:oMath>
      <w:r>
        <w:t xml:space="preserve">mm.  </w:t>
      </w:r>
    </w:p>
    <w:p w14:paraId="42282447" w14:textId="77777777" w:rsidR="00E2542C" w:rsidRDefault="00E2542C" w:rsidP="00E2542C"/>
    <w:p w14:paraId="42282448" w14:textId="77777777" w:rsidR="00E2542C" w:rsidRDefault="00E2542C" w:rsidP="00E2542C"/>
    <w:p w14:paraId="42282449" w14:textId="77777777" w:rsidR="00E2542C" w:rsidRPr="00872B68" w:rsidRDefault="00E2542C" w:rsidP="00E2542C">
      <w:pPr>
        <w:tabs>
          <w:tab w:val="left" w:pos="993"/>
          <w:tab w:val="left" w:pos="1701"/>
        </w:tabs>
        <w:ind w:left="993" w:hanging="993"/>
        <w:jc w:val="left"/>
        <w:rPr>
          <w:rFonts w:eastAsiaTheme="minorEastAsia"/>
        </w:rPr>
      </w:pPr>
      <w:r>
        <w:t>Example 3:</w:t>
      </w:r>
      <w:r>
        <w:tab/>
        <w:t xml:space="preserve">Suppose a relative uncertainty of </w:t>
      </w:r>
      <m:oMath>
        <m:r>
          <w:rPr>
            <w:rFonts w:ascii="Cambria Math" w:hAnsi="Cambria Math"/>
          </w:rPr>
          <m:t>5%</m:t>
        </m:r>
      </m:oMath>
      <w:r>
        <w:t xml:space="preserve"> on a measurement: </w:t>
      </w:r>
      <m:oMath>
        <m:r>
          <w:rPr>
            <w:rFonts w:ascii="Cambria Math" w:hAnsi="Cambria Math"/>
          </w:rPr>
          <m:t>y = 2531</m:t>
        </m:r>
      </m:oMath>
      <w:proofErr w:type="gramStart"/>
      <w:r>
        <w:t xml:space="preserve">m </w:t>
      </w:r>
      <w:proofErr w:type="gramEnd"/>
      <m:oMath>
        <m:r>
          <w:rPr>
            <w:rFonts w:ascii="Cambria Math" w:hAnsi="Cambria Math"/>
          </w:rPr>
          <m:t>± 5%</m:t>
        </m:r>
      </m:oMath>
      <w:r>
        <w:rPr>
          <w:rFonts w:eastAsiaTheme="minorEastAsia"/>
        </w:rPr>
        <w:t xml:space="preserve">.  </w:t>
      </w:r>
      <w:r>
        <w:rPr>
          <w:rFonts w:eastAsiaTheme="minorEastAsia"/>
        </w:rPr>
        <w:br/>
      </w:r>
      <w:r>
        <w:rPr>
          <w:rFonts w:eastAsiaTheme="minorEastAsia"/>
        </w:rPr>
        <w:br/>
      </w:r>
      <w:r>
        <w:t xml:space="preserve">Step 1: </w:t>
      </w:r>
      <w:r>
        <w:tab/>
        <w:t xml:space="preserve">Multiply the measurement </w:t>
      </w:r>
      <w:proofErr w:type="gramStart"/>
      <w:r>
        <w:t xml:space="preserve">by </w:t>
      </w:r>
      <w:proofErr w:type="gramEnd"/>
      <m:oMath>
        <m:r>
          <w:rPr>
            <w:rFonts w:ascii="Cambria Math" w:hAnsi="Cambria Math"/>
          </w:rPr>
          <m:t>5%</m:t>
        </m:r>
      </m:oMath>
      <w:r>
        <w:rPr>
          <w:rFonts w:eastAsiaTheme="minorEastAsia"/>
        </w:rPr>
        <w:t>:</w:t>
      </w:r>
      <w:r>
        <w:rPr>
          <w:rFonts w:eastAsiaTheme="minorEastAsia"/>
        </w:rPr>
        <w:tab/>
      </w:r>
      <w:r>
        <w:rPr>
          <w:rFonts w:eastAsiaTheme="minorEastAsia"/>
        </w:rPr>
        <w:tab/>
      </w:r>
      <w:r>
        <w:rPr>
          <w:rFonts w:eastAsiaTheme="minorEastAsia"/>
        </w:rPr>
        <w:br/>
      </w:r>
      <w:r>
        <w:rPr>
          <w:rFonts w:eastAsiaTheme="minorEastAsia"/>
        </w:rPr>
        <w:tab/>
      </w:r>
      <w:r>
        <w:rPr>
          <w:rFonts w:eastAsiaTheme="minorEastAsia"/>
        </w:rPr>
        <w:tab/>
      </w:r>
      <w:r>
        <w:sym w:font="Wingdings" w:char="F0F0"/>
      </w:r>
      <w:r>
        <w:t xml:space="preserve"> </w:t>
      </w:r>
      <m:oMath>
        <m:r>
          <w:rPr>
            <w:rFonts w:ascii="Cambria Math" w:hAnsi="Cambria Math"/>
          </w:rPr>
          <m:t>(2531± 126.55)</m:t>
        </m:r>
      </m:oMath>
      <w:r w:rsidR="008F76AF">
        <w:t>m</w:t>
      </w:r>
      <w:r>
        <w:t>.</w:t>
      </w:r>
      <w:r>
        <w:rPr>
          <w:rFonts w:eastAsiaTheme="minorEastAsia"/>
        </w:rPr>
        <w:br/>
      </w:r>
      <w:r>
        <w:rPr>
          <w:rFonts w:eastAsiaTheme="minorEastAsia"/>
        </w:rPr>
        <w:br/>
      </w:r>
      <w:r>
        <w:t xml:space="preserve">Step 2: </w:t>
      </w:r>
      <w:r>
        <w:tab/>
        <w:t>Round off the uncertainty to ONE significant digit</w:t>
      </w:r>
      <w:r>
        <w:rPr>
          <w:rFonts w:eastAsiaTheme="minorEastAsia"/>
        </w:rPr>
        <w:t>:</w:t>
      </w:r>
      <w:r>
        <w:rPr>
          <w:rFonts w:eastAsiaTheme="minorEastAsia"/>
        </w:rPr>
        <w:br/>
      </w:r>
      <w:r>
        <w:rPr>
          <w:rFonts w:eastAsiaTheme="minorEastAsia"/>
        </w:rPr>
        <w:tab/>
      </w:r>
      <w:r>
        <w:rPr>
          <w:rFonts w:eastAsiaTheme="minorEastAsia"/>
        </w:rPr>
        <w:tab/>
      </w:r>
      <w:r>
        <w:sym w:font="Wingdings" w:char="F0F0"/>
      </w:r>
      <w:r>
        <w:t xml:space="preserve"> </w:t>
      </w:r>
      <m:oMath>
        <m:r>
          <w:rPr>
            <w:rFonts w:ascii="Cambria Math" w:hAnsi="Cambria Math"/>
          </w:rPr>
          <m:t>(2531 ± 100)</m:t>
        </m:r>
      </m:oMath>
      <w:r w:rsidR="008F76AF">
        <w:t>m</w:t>
      </w:r>
      <w:r>
        <w:t>.</w:t>
      </w:r>
      <w:r>
        <w:rPr>
          <w:rFonts w:eastAsiaTheme="minorEastAsia"/>
        </w:rPr>
        <w:br/>
      </w:r>
      <w:r>
        <w:rPr>
          <w:rFonts w:eastAsiaTheme="minorEastAsia"/>
        </w:rPr>
        <w:br/>
      </w:r>
      <w:r>
        <w:t xml:space="preserve">Step 3: </w:t>
      </w:r>
      <w:r>
        <w:tab/>
        <w:t xml:space="preserve">Round off the measured value such that it has the same degree of precision as the </w:t>
      </w:r>
      <w:r>
        <w:br/>
      </w:r>
      <w:r>
        <w:rPr>
          <w:rFonts w:eastAsiaTheme="minorEastAsia"/>
        </w:rPr>
        <w:tab/>
      </w:r>
      <w:r>
        <w:t>uncertainty:</w:t>
      </w:r>
      <w:r>
        <w:br/>
      </w:r>
      <w:r>
        <w:rPr>
          <w:rFonts w:eastAsiaTheme="minorEastAsia"/>
        </w:rPr>
        <w:tab/>
      </w:r>
      <w:r>
        <w:rPr>
          <w:rFonts w:eastAsiaTheme="minorEastAsia"/>
        </w:rPr>
        <w:tab/>
      </w:r>
      <w:r>
        <w:sym w:font="Wingdings" w:char="F0F0"/>
      </w:r>
      <w:r>
        <w:t xml:space="preserve"> </w:t>
      </w:r>
      <m:oMath>
        <m:r>
          <w:rPr>
            <w:rFonts w:ascii="Cambria Math" w:hAnsi="Cambria Math"/>
          </w:rPr>
          <m:t>(2.5 ± 0.1)</m:t>
        </m:r>
      </m:oMath>
      <w:r w:rsidR="00AD4EB2">
        <w:rPr>
          <w:rFonts w:eastAsiaTheme="minorEastAsia"/>
        </w:rPr>
        <w:t>k</w:t>
      </w:r>
      <w:r w:rsidR="008F76AF">
        <w:t>m</w:t>
      </w:r>
      <w:r>
        <w:t xml:space="preserve">.  </w:t>
      </w:r>
    </w:p>
    <w:p w14:paraId="4228244A" w14:textId="77777777" w:rsidR="00954689" w:rsidRPr="00E54503" w:rsidRDefault="00954689" w:rsidP="002D78E1"/>
    <w:sectPr w:rsidR="00954689" w:rsidRPr="00E54503" w:rsidSect="00B35265">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82455" w14:textId="77777777" w:rsidR="00994B6B" w:rsidRDefault="00994B6B" w:rsidP="00D04310">
      <w:r>
        <w:separator/>
      </w:r>
    </w:p>
  </w:endnote>
  <w:endnote w:type="continuationSeparator" w:id="0">
    <w:p w14:paraId="42282456" w14:textId="77777777" w:rsidR="00994B6B" w:rsidRDefault="00994B6B"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94B6B" w14:paraId="42282459" w14:textId="77777777" w:rsidTr="00A610E2">
      <w:tc>
        <w:tcPr>
          <w:tcW w:w="4600" w:type="pct"/>
          <w:tcBorders>
            <w:top w:val="single" w:sz="4" w:space="0" w:color="auto"/>
            <w:right w:val="nil"/>
          </w:tcBorders>
        </w:tcPr>
        <w:p w14:paraId="42282457" w14:textId="77777777" w:rsidR="00994B6B" w:rsidRPr="004677E7" w:rsidRDefault="00994B6B" w:rsidP="007649D1">
          <w:pPr>
            <w:pStyle w:val="Footer"/>
            <w:jc w:val="left"/>
          </w:pPr>
          <w:r>
            <w:fldChar w:fldCharType="begin"/>
          </w:r>
          <w:r>
            <w:instrText xml:space="preserve"> REF _Ref358967577 \h </w:instrText>
          </w:r>
          <w:r>
            <w:fldChar w:fldCharType="separate"/>
          </w:r>
          <w:r w:rsidR="005B7474">
            <w:t>Tutorial</w:t>
          </w:r>
          <w:r w:rsidR="005B7474" w:rsidRPr="00BE4329">
            <w:t xml:space="preserve"> </w:t>
          </w:r>
          <w:r w:rsidR="005B7474">
            <w:t>–</w:t>
          </w:r>
          <w:r w:rsidR="005B7474" w:rsidRPr="00BE4329">
            <w:t xml:space="preserve"> </w:t>
          </w:r>
          <w:r w:rsidR="005B7474">
            <w:t>Experimental errors</w:t>
          </w:r>
          <w:r>
            <w:fldChar w:fldCharType="end"/>
          </w:r>
        </w:p>
      </w:tc>
      <w:tc>
        <w:tcPr>
          <w:tcW w:w="400" w:type="pct"/>
          <w:tcBorders>
            <w:top w:val="single" w:sz="4" w:space="0" w:color="auto"/>
            <w:left w:val="nil"/>
          </w:tcBorders>
        </w:tcPr>
        <w:p w14:paraId="42282458" w14:textId="77777777" w:rsidR="00994B6B" w:rsidRPr="00A610E2" w:rsidRDefault="00994B6B"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B7474" w:rsidRPr="005B7474">
            <w:rPr>
              <w:bCs/>
              <w:noProof/>
              <w:color w:val="auto"/>
            </w:rPr>
            <w:t>6</w:t>
          </w:r>
          <w:r w:rsidRPr="00A610E2">
            <w:rPr>
              <w:bCs/>
              <w:noProof/>
              <w:color w:val="auto"/>
            </w:rPr>
            <w:fldChar w:fldCharType="end"/>
          </w:r>
        </w:p>
      </w:tc>
    </w:tr>
  </w:tbl>
  <w:p w14:paraId="4228245A" w14:textId="77777777" w:rsidR="00994B6B" w:rsidRDefault="00994B6B"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2453" w14:textId="77777777" w:rsidR="00994B6B" w:rsidRDefault="00994B6B" w:rsidP="00D04310">
      <w:r>
        <w:separator/>
      </w:r>
    </w:p>
  </w:footnote>
  <w:footnote w:type="continuationSeparator" w:id="0">
    <w:p w14:paraId="42282454" w14:textId="77777777" w:rsidR="00994B6B" w:rsidRDefault="00994B6B"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0C43"/>
    <w:multiLevelType w:val="hybridMultilevel"/>
    <w:tmpl w:val="B4EEAEB4"/>
    <w:lvl w:ilvl="0" w:tplc="9CFE3C88">
      <w:numFmt w:val="bullet"/>
      <w:lvlText w:val=""/>
      <w:lvlJc w:val="left"/>
      <w:pPr>
        <w:ind w:left="4680" w:hanging="360"/>
      </w:pPr>
      <w:rPr>
        <w:rFonts w:ascii="Wingdings" w:eastAsiaTheme="minorHAnsi" w:hAnsi="Wingdings" w:cs="Times New Roman (TT)"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4">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E384AD0"/>
    <w:multiLevelType w:val="hybridMultilevel"/>
    <w:tmpl w:val="C3F8AC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FEA6C2D"/>
    <w:multiLevelType w:val="hybridMultilevel"/>
    <w:tmpl w:val="FB5A34D6"/>
    <w:lvl w:ilvl="0" w:tplc="86943F5E">
      <w:start w:val="1"/>
      <w:numFmt w:val="decimal"/>
      <w:lvlText w:val="%1."/>
      <w:lvlJc w:val="left"/>
      <w:pPr>
        <w:ind w:left="720" w:hanging="360"/>
      </w:pPr>
      <w:rPr>
        <w:rFonts w:asciiTheme="minorHAnsi" w:eastAsiaTheme="minorHAnsi" w:hAnsiTheme="minorHAnsi" w:cs="Times New Roman (T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A6569D5"/>
    <w:multiLevelType w:val="hybridMultilevel"/>
    <w:tmpl w:val="D85CC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221AC4"/>
    <w:multiLevelType w:val="hybridMultilevel"/>
    <w:tmpl w:val="6A1C0C7C"/>
    <w:lvl w:ilvl="0" w:tplc="979CBEA6">
      <w:start w:val="3"/>
      <w:numFmt w:val="bullet"/>
      <w:lvlText w:val=""/>
      <w:lvlJc w:val="left"/>
      <w:pPr>
        <w:ind w:left="1080" w:hanging="360"/>
      </w:pPr>
      <w:rPr>
        <w:rFonts w:ascii="Wingdings" w:eastAsiaTheme="minorHAnsi" w:hAnsi="Wingdings" w:cs="Times New Roman (TT)" w:hint="default"/>
        <w:b/>
        <w:color w:val="C0504D"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B0F3A48"/>
    <w:multiLevelType w:val="hybridMultilevel"/>
    <w:tmpl w:val="53A2E5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E7E7BB2"/>
    <w:multiLevelType w:val="hybridMultilevel"/>
    <w:tmpl w:val="52D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1"/>
  </w:num>
  <w:num w:numId="5">
    <w:abstractNumId w:val="14"/>
  </w:num>
  <w:num w:numId="6">
    <w:abstractNumId w:val="7"/>
  </w:num>
  <w:num w:numId="7">
    <w:abstractNumId w:val="6"/>
  </w:num>
  <w:num w:numId="8">
    <w:abstractNumId w:val="20"/>
  </w:num>
  <w:num w:numId="9">
    <w:abstractNumId w:val="27"/>
  </w:num>
  <w:num w:numId="10">
    <w:abstractNumId w:val="24"/>
  </w:num>
  <w:num w:numId="11">
    <w:abstractNumId w:val="0"/>
  </w:num>
  <w:num w:numId="12">
    <w:abstractNumId w:val="4"/>
  </w:num>
  <w:num w:numId="13">
    <w:abstractNumId w:val="13"/>
  </w:num>
  <w:num w:numId="14">
    <w:abstractNumId w:val="19"/>
  </w:num>
  <w:num w:numId="15">
    <w:abstractNumId w:val="22"/>
  </w:num>
  <w:num w:numId="16">
    <w:abstractNumId w:val="25"/>
  </w:num>
  <w:num w:numId="17">
    <w:abstractNumId w:val="17"/>
  </w:num>
  <w:num w:numId="18">
    <w:abstractNumId w:val="9"/>
  </w:num>
  <w:num w:numId="19">
    <w:abstractNumId w:val="2"/>
  </w:num>
  <w:num w:numId="20">
    <w:abstractNumId w:val="23"/>
  </w:num>
  <w:num w:numId="21">
    <w:abstractNumId w:val="16"/>
  </w:num>
  <w:num w:numId="22">
    <w:abstractNumId w:val="21"/>
  </w:num>
  <w:num w:numId="23">
    <w:abstractNumId w:val="18"/>
  </w:num>
  <w:num w:numId="24">
    <w:abstractNumId w:val="26"/>
  </w:num>
  <w:num w:numId="25">
    <w:abstractNumId w:val="5"/>
  </w:num>
  <w:num w:numId="26">
    <w:abstractNumId w:val="12"/>
  </w:num>
  <w:num w:numId="27">
    <w:abstractNumId w:val="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27B43"/>
    <w:rsid w:val="0003016D"/>
    <w:rsid w:val="00030592"/>
    <w:rsid w:val="00035867"/>
    <w:rsid w:val="0004637E"/>
    <w:rsid w:val="00051B16"/>
    <w:rsid w:val="00053B41"/>
    <w:rsid w:val="000617EA"/>
    <w:rsid w:val="00063523"/>
    <w:rsid w:val="00066082"/>
    <w:rsid w:val="00076985"/>
    <w:rsid w:val="00082F0B"/>
    <w:rsid w:val="00087D5B"/>
    <w:rsid w:val="0009308C"/>
    <w:rsid w:val="0009587E"/>
    <w:rsid w:val="000978A1"/>
    <w:rsid w:val="000A1594"/>
    <w:rsid w:val="000A1878"/>
    <w:rsid w:val="000A2D2F"/>
    <w:rsid w:val="000A53F9"/>
    <w:rsid w:val="000B3373"/>
    <w:rsid w:val="000C1C03"/>
    <w:rsid w:val="000E55BE"/>
    <w:rsid w:val="000F0007"/>
    <w:rsid w:val="000F0847"/>
    <w:rsid w:val="000F1D74"/>
    <w:rsid w:val="000F2346"/>
    <w:rsid w:val="000F7D4C"/>
    <w:rsid w:val="0010296B"/>
    <w:rsid w:val="00110BAD"/>
    <w:rsid w:val="001148D5"/>
    <w:rsid w:val="00117D70"/>
    <w:rsid w:val="00123096"/>
    <w:rsid w:val="00130007"/>
    <w:rsid w:val="001301BB"/>
    <w:rsid w:val="00131250"/>
    <w:rsid w:val="00133383"/>
    <w:rsid w:val="00134554"/>
    <w:rsid w:val="00136353"/>
    <w:rsid w:val="001445D8"/>
    <w:rsid w:val="00151FE6"/>
    <w:rsid w:val="00154755"/>
    <w:rsid w:val="00156A57"/>
    <w:rsid w:val="00160105"/>
    <w:rsid w:val="0016287D"/>
    <w:rsid w:val="0016378C"/>
    <w:rsid w:val="00167BA7"/>
    <w:rsid w:val="00167C22"/>
    <w:rsid w:val="00174962"/>
    <w:rsid w:val="0018099E"/>
    <w:rsid w:val="001821B5"/>
    <w:rsid w:val="00191D1A"/>
    <w:rsid w:val="001A21B0"/>
    <w:rsid w:val="001A6E6F"/>
    <w:rsid w:val="001B5EC4"/>
    <w:rsid w:val="001B72EA"/>
    <w:rsid w:val="001D0C52"/>
    <w:rsid w:val="001D4BEC"/>
    <w:rsid w:val="00202977"/>
    <w:rsid w:val="00207BEC"/>
    <w:rsid w:val="00210680"/>
    <w:rsid w:val="00217E54"/>
    <w:rsid w:val="00222807"/>
    <w:rsid w:val="002371B8"/>
    <w:rsid w:val="00241095"/>
    <w:rsid w:val="00244E47"/>
    <w:rsid w:val="00257B70"/>
    <w:rsid w:val="00263EB5"/>
    <w:rsid w:val="002853C6"/>
    <w:rsid w:val="002903A6"/>
    <w:rsid w:val="0029709D"/>
    <w:rsid w:val="002A0537"/>
    <w:rsid w:val="002A51BC"/>
    <w:rsid w:val="002B3D31"/>
    <w:rsid w:val="002B56BF"/>
    <w:rsid w:val="002B56F6"/>
    <w:rsid w:val="002C39FD"/>
    <w:rsid w:val="002D1DCA"/>
    <w:rsid w:val="002D3C8A"/>
    <w:rsid w:val="002D73A6"/>
    <w:rsid w:val="002D78E1"/>
    <w:rsid w:val="002E0F9A"/>
    <w:rsid w:val="002E290A"/>
    <w:rsid w:val="002E3CE5"/>
    <w:rsid w:val="002E5E27"/>
    <w:rsid w:val="002E6F94"/>
    <w:rsid w:val="002F1666"/>
    <w:rsid w:val="002F23E0"/>
    <w:rsid w:val="002F6683"/>
    <w:rsid w:val="00302795"/>
    <w:rsid w:val="0030300F"/>
    <w:rsid w:val="0031213E"/>
    <w:rsid w:val="003121A6"/>
    <w:rsid w:val="00314DA2"/>
    <w:rsid w:val="00317D38"/>
    <w:rsid w:val="00321AF5"/>
    <w:rsid w:val="003335E4"/>
    <w:rsid w:val="00336DED"/>
    <w:rsid w:val="00340512"/>
    <w:rsid w:val="00340B5C"/>
    <w:rsid w:val="00343D55"/>
    <w:rsid w:val="00346871"/>
    <w:rsid w:val="0035479B"/>
    <w:rsid w:val="00356D06"/>
    <w:rsid w:val="00361F92"/>
    <w:rsid w:val="00384283"/>
    <w:rsid w:val="00387032"/>
    <w:rsid w:val="00391DAF"/>
    <w:rsid w:val="0039511B"/>
    <w:rsid w:val="00397DF2"/>
    <w:rsid w:val="003A02F0"/>
    <w:rsid w:val="003A19D8"/>
    <w:rsid w:val="003A22E1"/>
    <w:rsid w:val="003A286F"/>
    <w:rsid w:val="003A70D2"/>
    <w:rsid w:val="003B4958"/>
    <w:rsid w:val="003C15EF"/>
    <w:rsid w:val="003C3E64"/>
    <w:rsid w:val="003D0FBF"/>
    <w:rsid w:val="003D7ECA"/>
    <w:rsid w:val="003E23EB"/>
    <w:rsid w:val="003E2F04"/>
    <w:rsid w:val="003F427C"/>
    <w:rsid w:val="003F628C"/>
    <w:rsid w:val="004029FD"/>
    <w:rsid w:val="0040439E"/>
    <w:rsid w:val="00405D3C"/>
    <w:rsid w:val="00415D7E"/>
    <w:rsid w:val="0041734D"/>
    <w:rsid w:val="004370F7"/>
    <w:rsid w:val="0043712C"/>
    <w:rsid w:val="00452DDA"/>
    <w:rsid w:val="00456D13"/>
    <w:rsid w:val="00463AB9"/>
    <w:rsid w:val="00464636"/>
    <w:rsid w:val="00465B5A"/>
    <w:rsid w:val="00465F79"/>
    <w:rsid w:val="004677E7"/>
    <w:rsid w:val="00483D0B"/>
    <w:rsid w:val="00484A5A"/>
    <w:rsid w:val="00486C75"/>
    <w:rsid w:val="004936DA"/>
    <w:rsid w:val="00493BBA"/>
    <w:rsid w:val="004A308E"/>
    <w:rsid w:val="004B2DA6"/>
    <w:rsid w:val="004D7EE1"/>
    <w:rsid w:val="004E633D"/>
    <w:rsid w:val="004F0DFB"/>
    <w:rsid w:val="004F28E6"/>
    <w:rsid w:val="004F7E5C"/>
    <w:rsid w:val="00504A8C"/>
    <w:rsid w:val="00506E14"/>
    <w:rsid w:val="00514138"/>
    <w:rsid w:val="005167CE"/>
    <w:rsid w:val="00520BF6"/>
    <w:rsid w:val="0052422E"/>
    <w:rsid w:val="00536957"/>
    <w:rsid w:val="005403B4"/>
    <w:rsid w:val="005413DE"/>
    <w:rsid w:val="005474EB"/>
    <w:rsid w:val="00550682"/>
    <w:rsid w:val="00554189"/>
    <w:rsid w:val="00567637"/>
    <w:rsid w:val="00572269"/>
    <w:rsid w:val="0057442B"/>
    <w:rsid w:val="005749D9"/>
    <w:rsid w:val="005767FB"/>
    <w:rsid w:val="00585FC3"/>
    <w:rsid w:val="00592093"/>
    <w:rsid w:val="00595404"/>
    <w:rsid w:val="00596045"/>
    <w:rsid w:val="005A1000"/>
    <w:rsid w:val="005A128E"/>
    <w:rsid w:val="005B2BD9"/>
    <w:rsid w:val="005B71E4"/>
    <w:rsid w:val="005B7474"/>
    <w:rsid w:val="005C3BDB"/>
    <w:rsid w:val="005C54B4"/>
    <w:rsid w:val="005C6288"/>
    <w:rsid w:val="005C7C12"/>
    <w:rsid w:val="005D1097"/>
    <w:rsid w:val="005D20B1"/>
    <w:rsid w:val="005D348D"/>
    <w:rsid w:val="005D3A57"/>
    <w:rsid w:val="005E26F1"/>
    <w:rsid w:val="005E6481"/>
    <w:rsid w:val="006024EA"/>
    <w:rsid w:val="00602AAD"/>
    <w:rsid w:val="006233D2"/>
    <w:rsid w:val="006516C1"/>
    <w:rsid w:val="006537A1"/>
    <w:rsid w:val="006573E1"/>
    <w:rsid w:val="00662BAA"/>
    <w:rsid w:val="0066771A"/>
    <w:rsid w:val="00673FC5"/>
    <w:rsid w:val="00681103"/>
    <w:rsid w:val="00681EE3"/>
    <w:rsid w:val="006825FE"/>
    <w:rsid w:val="00682C46"/>
    <w:rsid w:val="00693B4A"/>
    <w:rsid w:val="00694F97"/>
    <w:rsid w:val="0069541A"/>
    <w:rsid w:val="006A1F78"/>
    <w:rsid w:val="006A1F9E"/>
    <w:rsid w:val="006A222A"/>
    <w:rsid w:val="006D0E09"/>
    <w:rsid w:val="006D149F"/>
    <w:rsid w:val="006D59CB"/>
    <w:rsid w:val="006E388E"/>
    <w:rsid w:val="006E565F"/>
    <w:rsid w:val="006F79D0"/>
    <w:rsid w:val="007243AA"/>
    <w:rsid w:val="00726E69"/>
    <w:rsid w:val="00736A45"/>
    <w:rsid w:val="00745631"/>
    <w:rsid w:val="00745E2A"/>
    <w:rsid w:val="00746538"/>
    <w:rsid w:val="00747A75"/>
    <w:rsid w:val="0075001E"/>
    <w:rsid w:val="007519A5"/>
    <w:rsid w:val="007649D1"/>
    <w:rsid w:val="00772E8F"/>
    <w:rsid w:val="00785812"/>
    <w:rsid w:val="00787434"/>
    <w:rsid w:val="007920D2"/>
    <w:rsid w:val="00797AB3"/>
    <w:rsid w:val="007A0E6C"/>
    <w:rsid w:val="007B2417"/>
    <w:rsid w:val="007B387A"/>
    <w:rsid w:val="007B3AC0"/>
    <w:rsid w:val="007B6E4F"/>
    <w:rsid w:val="007C6740"/>
    <w:rsid w:val="007D0BA2"/>
    <w:rsid w:val="007D10BB"/>
    <w:rsid w:val="007E384D"/>
    <w:rsid w:val="007F6E8F"/>
    <w:rsid w:val="007F73C2"/>
    <w:rsid w:val="0080111B"/>
    <w:rsid w:val="00801BAF"/>
    <w:rsid w:val="00803ED8"/>
    <w:rsid w:val="00805293"/>
    <w:rsid w:val="008065CD"/>
    <w:rsid w:val="00833B49"/>
    <w:rsid w:val="00834298"/>
    <w:rsid w:val="00835714"/>
    <w:rsid w:val="00844204"/>
    <w:rsid w:val="00850008"/>
    <w:rsid w:val="00856FFB"/>
    <w:rsid w:val="00857AEE"/>
    <w:rsid w:val="0086010D"/>
    <w:rsid w:val="00864C2E"/>
    <w:rsid w:val="00872B68"/>
    <w:rsid w:val="00874583"/>
    <w:rsid w:val="00881EE7"/>
    <w:rsid w:val="00891BC1"/>
    <w:rsid w:val="00892F5C"/>
    <w:rsid w:val="008A0654"/>
    <w:rsid w:val="008A0D57"/>
    <w:rsid w:val="008A3A4F"/>
    <w:rsid w:val="008A4D5D"/>
    <w:rsid w:val="008A79BE"/>
    <w:rsid w:val="008B4B1B"/>
    <w:rsid w:val="008B5487"/>
    <w:rsid w:val="008C5CE1"/>
    <w:rsid w:val="008D0C0D"/>
    <w:rsid w:val="008D3B54"/>
    <w:rsid w:val="008D4572"/>
    <w:rsid w:val="008E1EB9"/>
    <w:rsid w:val="008E6C03"/>
    <w:rsid w:val="008F76AF"/>
    <w:rsid w:val="009067EA"/>
    <w:rsid w:val="009075F9"/>
    <w:rsid w:val="00917164"/>
    <w:rsid w:val="00920170"/>
    <w:rsid w:val="009454C5"/>
    <w:rsid w:val="00945718"/>
    <w:rsid w:val="0094678A"/>
    <w:rsid w:val="00954689"/>
    <w:rsid w:val="00956486"/>
    <w:rsid w:val="009612F4"/>
    <w:rsid w:val="00973A7F"/>
    <w:rsid w:val="00977B6F"/>
    <w:rsid w:val="00983CEB"/>
    <w:rsid w:val="00990005"/>
    <w:rsid w:val="00994B6B"/>
    <w:rsid w:val="009A5FB5"/>
    <w:rsid w:val="009B1C1E"/>
    <w:rsid w:val="009D287B"/>
    <w:rsid w:val="009E2F2A"/>
    <w:rsid w:val="009E6CE8"/>
    <w:rsid w:val="00A02EDA"/>
    <w:rsid w:val="00A02F1F"/>
    <w:rsid w:val="00A113A2"/>
    <w:rsid w:val="00A145E7"/>
    <w:rsid w:val="00A16888"/>
    <w:rsid w:val="00A22D24"/>
    <w:rsid w:val="00A30D9E"/>
    <w:rsid w:val="00A35B97"/>
    <w:rsid w:val="00A41371"/>
    <w:rsid w:val="00A431F3"/>
    <w:rsid w:val="00A56812"/>
    <w:rsid w:val="00A5697C"/>
    <w:rsid w:val="00A610E2"/>
    <w:rsid w:val="00A7060F"/>
    <w:rsid w:val="00A73F37"/>
    <w:rsid w:val="00A851F7"/>
    <w:rsid w:val="00A85465"/>
    <w:rsid w:val="00A92D08"/>
    <w:rsid w:val="00A95C7F"/>
    <w:rsid w:val="00A96014"/>
    <w:rsid w:val="00A9708A"/>
    <w:rsid w:val="00AB4A0B"/>
    <w:rsid w:val="00AB543B"/>
    <w:rsid w:val="00AB5611"/>
    <w:rsid w:val="00AC60B9"/>
    <w:rsid w:val="00AC7081"/>
    <w:rsid w:val="00AD02A4"/>
    <w:rsid w:val="00AD0E8B"/>
    <w:rsid w:val="00AD186D"/>
    <w:rsid w:val="00AD22E1"/>
    <w:rsid w:val="00AD4EB2"/>
    <w:rsid w:val="00AD74F9"/>
    <w:rsid w:val="00AE363C"/>
    <w:rsid w:val="00AE48ED"/>
    <w:rsid w:val="00AF085E"/>
    <w:rsid w:val="00B0039A"/>
    <w:rsid w:val="00B01A99"/>
    <w:rsid w:val="00B0310A"/>
    <w:rsid w:val="00B06D66"/>
    <w:rsid w:val="00B12E53"/>
    <w:rsid w:val="00B161CF"/>
    <w:rsid w:val="00B323BF"/>
    <w:rsid w:val="00B35265"/>
    <w:rsid w:val="00B3539E"/>
    <w:rsid w:val="00B551F4"/>
    <w:rsid w:val="00B5790D"/>
    <w:rsid w:val="00B604EE"/>
    <w:rsid w:val="00B605B4"/>
    <w:rsid w:val="00B650FB"/>
    <w:rsid w:val="00B66513"/>
    <w:rsid w:val="00B74878"/>
    <w:rsid w:val="00B76594"/>
    <w:rsid w:val="00B82CA5"/>
    <w:rsid w:val="00B85956"/>
    <w:rsid w:val="00B91F3D"/>
    <w:rsid w:val="00B952B7"/>
    <w:rsid w:val="00BA3011"/>
    <w:rsid w:val="00BA3EB8"/>
    <w:rsid w:val="00BA448B"/>
    <w:rsid w:val="00BB5E21"/>
    <w:rsid w:val="00BC71ED"/>
    <w:rsid w:val="00BE4329"/>
    <w:rsid w:val="00BE4535"/>
    <w:rsid w:val="00BE604C"/>
    <w:rsid w:val="00BF17FA"/>
    <w:rsid w:val="00BF3A5B"/>
    <w:rsid w:val="00C03786"/>
    <w:rsid w:val="00C10996"/>
    <w:rsid w:val="00C11679"/>
    <w:rsid w:val="00C11E05"/>
    <w:rsid w:val="00C161FA"/>
    <w:rsid w:val="00C2139C"/>
    <w:rsid w:val="00C2290E"/>
    <w:rsid w:val="00C22A8F"/>
    <w:rsid w:val="00C261AE"/>
    <w:rsid w:val="00C32C8E"/>
    <w:rsid w:val="00C416B4"/>
    <w:rsid w:val="00C4766B"/>
    <w:rsid w:val="00C55796"/>
    <w:rsid w:val="00C65221"/>
    <w:rsid w:val="00C70AC1"/>
    <w:rsid w:val="00C74CEA"/>
    <w:rsid w:val="00C750E6"/>
    <w:rsid w:val="00C76669"/>
    <w:rsid w:val="00C82DF6"/>
    <w:rsid w:val="00C91C38"/>
    <w:rsid w:val="00C92E9B"/>
    <w:rsid w:val="00C93285"/>
    <w:rsid w:val="00CA2AB3"/>
    <w:rsid w:val="00CA5D26"/>
    <w:rsid w:val="00CA781C"/>
    <w:rsid w:val="00CB57CC"/>
    <w:rsid w:val="00CC069B"/>
    <w:rsid w:val="00CC62AD"/>
    <w:rsid w:val="00CD6BEE"/>
    <w:rsid w:val="00CD7C91"/>
    <w:rsid w:val="00CE47AC"/>
    <w:rsid w:val="00CF75AC"/>
    <w:rsid w:val="00D04310"/>
    <w:rsid w:val="00D1118F"/>
    <w:rsid w:val="00D12A1F"/>
    <w:rsid w:val="00D25166"/>
    <w:rsid w:val="00D40826"/>
    <w:rsid w:val="00D408A4"/>
    <w:rsid w:val="00D40EF6"/>
    <w:rsid w:val="00D475DD"/>
    <w:rsid w:val="00D50054"/>
    <w:rsid w:val="00D6023F"/>
    <w:rsid w:val="00D60DA2"/>
    <w:rsid w:val="00D6226C"/>
    <w:rsid w:val="00D64087"/>
    <w:rsid w:val="00D724C2"/>
    <w:rsid w:val="00D80E28"/>
    <w:rsid w:val="00D869D8"/>
    <w:rsid w:val="00D91E91"/>
    <w:rsid w:val="00D97688"/>
    <w:rsid w:val="00DB7419"/>
    <w:rsid w:val="00DD1E5C"/>
    <w:rsid w:val="00DD3E2C"/>
    <w:rsid w:val="00DD54BE"/>
    <w:rsid w:val="00DE3528"/>
    <w:rsid w:val="00DE7853"/>
    <w:rsid w:val="00DF0A46"/>
    <w:rsid w:val="00DF2A9D"/>
    <w:rsid w:val="00DF30DE"/>
    <w:rsid w:val="00DF3911"/>
    <w:rsid w:val="00DF55AC"/>
    <w:rsid w:val="00E05C7C"/>
    <w:rsid w:val="00E06987"/>
    <w:rsid w:val="00E16B19"/>
    <w:rsid w:val="00E2542C"/>
    <w:rsid w:val="00E31A95"/>
    <w:rsid w:val="00E34325"/>
    <w:rsid w:val="00E347D9"/>
    <w:rsid w:val="00E40AFE"/>
    <w:rsid w:val="00E44164"/>
    <w:rsid w:val="00E508DA"/>
    <w:rsid w:val="00E51FCE"/>
    <w:rsid w:val="00E54503"/>
    <w:rsid w:val="00E577E1"/>
    <w:rsid w:val="00E609A7"/>
    <w:rsid w:val="00E647D1"/>
    <w:rsid w:val="00E70812"/>
    <w:rsid w:val="00E742CC"/>
    <w:rsid w:val="00E77A75"/>
    <w:rsid w:val="00E8566F"/>
    <w:rsid w:val="00EB05EE"/>
    <w:rsid w:val="00EB1276"/>
    <w:rsid w:val="00EB40A3"/>
    <w:rsid w:val="00EB5551"/>
    <w:rsid w:val="00ED23A6"/>
    <w:rsid w:val="00ED3AF4"/>
    <w:rsid w:val="00EE7438"/>
    <w:rsid w:val="00EF1CAA"/>
    <w:rsid w:val="00F0763D"/>
    <w:rsid w:val="00F21923"/>
    <w:rsid w:val="00F2394F"/>
    <w:rsid w:val="00F25EE9"/>
    <w:rsid w:val="00F30EB9"/>
    <w:rsid w:val="00F31672"/>
    <w:rsid w:val="00F37EB2"/>
    <w:rsid w:val="00F4721F"/>
    <w:rsid w:val="00F47A50"/>
    <w:rsid w:val="00F51112"/>
    <w:rsid w:val="00F52DB1"/>
    <w:rsid w:val="00F64489"/>
    <w:rsid w:val="00F64AB4"/>
    <w:rsid w:val="00F66761"/>
    <w:rsid w:val="00F66AB1"/>
    <w:rsid w:val="00F67D4E"/>
    <w:rsid w:val="00F71FA5"/>
    <w:rsid w:val="00F75D8C"/>
    <w:rsid w:val="00F77C34"/>
    <w:rsid w:val="00F81D04"/>
    <w:rsid w:val="00F841AF"/>
    <w:rsid w:val="00F84F00"/>
    <w:rsid w:val="00F92A07"/>
    <w:rsid w:val="00F9664F"/>
    <w:rsid w:val="00F968F6"/>
    <w:rsid w:val="00F978DE"/>
    <w:rsid w:val="00F979C9"/>
    <w:rsid w:val="00FD1D31"/>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2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77B6F"/>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977B6F"/>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77B6F"/>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77B6F"/>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Important">
    <w:name w:val="Important"/>
    <w:basedOn w:val="Normal"/>
    <w:link w:val="ImportantChar"/>
    <w:qFormat/>
    <w:rsid w:val="00E609A7"/>
    <w:pPr>
      <w:tabs>
        <w:tab w:val="left" w:pos="993"/>
      </w:tabs>
      <w:ind w:left="993" w:hanging="273"/>
      <w:jc w:val="left"/>
    </w:pPr>
    <w:rPr>
      <w:b/>
      <w:color w:val="C0504D" w:themeColor="accent2"/>
    </w:rPr>
  </w:style>
  <w:style w:type="character" w:customStyle="1" w:styleId="ImportantChar">
    <w:name w:val="Important Char"/>
    <w:basedOn w:val="DefaultParagraphFont"/>
    <w:link w:val="Important"/>
    <w:rsid w:val="00E609A7"/>
    <w:rPr>
      <w:rFonts w:cs="Times New Roman (TT)"/>
      <w:b/>
      <w:color w:val="C0504D" w:themeColor="accent2"/>
      <w:sz w:val="20"/>
      <w:szCs w:val="20"/>
    </w:rPr>
  </w:style>
  <w:style w:type="paragraph" w:styleId="TOCHeading">
    <w:name w:val="TOC Heading"/>
    <w:basedOn w:val="Heading1"/>
    <w:next w:val="Normal"/>
    <w:uiPriority w:val="39"/>
    <w:semiHidden/>
    <w:unhideWhenUsed/>
    <w:qFormat/>
    <w:rsid w:val="00AB4A0B"/>
    <w:pPr>
      <w:keepNext/>
      <w:keepLines/>
      <w:pBdr>
        <w:bottom w:val="none" w:sz="0" w:space="0" w:color="auto"/>
      </w:pBdr>
      <w:autoSpaceDE/>
      <w:autoSpaceDN/>
      <w:adjustRightInd/>
      <w:spacing w:before="480" w:after="0" w:line="276" w:lineRule="auto"/>
      <w:contextualSpacing w:val="0"/>
      <w:jc w:val="left"/>
      <w:textAlignment w:val="auto"/>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AB4A0B"/>
    <w:pPr>
      <w:spacing w:after="100"/>
    </w:pPr>
  </w:style>
  <w:style w:type="paragraph" w:styleId="TOC2">
    <w:name w:val="toc 2"/>
    <w:basedOn w:val="Normal"/>
    <w:next w:val="Normal"/>
    <w:autoRedefine/>
    <w:uiPriority w:val="39"/>
    <w:unhideWhenUsed/>
    <w:rsid w:val="00AB4A0B"/>
    <w:pPr>
      <w:spacing w:after="100"/>
      <w:ind w:left="200"/>
    </w:pPr>
  </w:style>
  <w:style w:type="paragraph" w:styleId="TOC3">
    <w:name w:val="toc 3"/>
    <w:basedOn w:val="Normal"/>
    <w:next w:val="Normal"/>
    <w:autoRedefine/>
    <w:uiPriority w:val="39"/>
    <w:unhideWhenUsed/>
    <w:rsid w:val="00AB4A0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77B6F"/>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977B6F"/>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77B6F"/>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77B6F"/>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Important">
    <w:name w:val="Important"/>
    <w:basedOn w:val="Normal"/>
    <w:link w:val="ImportantChar"/>
    <w:qFormat/>
    <w:rsid w:val="00E609A7"/>
    <w:pPr>
      <w:tabs>
        <w:tab w:val="left" w:pos="993"/>
      </w:tabs>
      <w:ind w:left="993" w:hanging="273"/>
      <w:jc w:val="left"/>
    </w:pPr>
    <w:rPr>
      <w:b/>
      <w:color w:val="C0504D" w:themeColor="accent2"/>
    </w:rPr>
  </w:style>
  <w:style w:type="character" w:customStyle="1" w:styleId="ImportantChar">
    <w:name w:val="Important Char"/>
    <w:basedOn w:val="DefaultParagraphFont"/>
    <w:link w:val="Important"/>
    <w:rsid w:val="00E609A7"/>
    <w:rPr>
      <w:rFonts w:cs="Times New Roman (TT)"/>
      <w:b/>
      <w:color w:val="C0504D" w:themeColor="accent2"/>
      <w:sz w:val="20"/>
      <w:szCs w:val="20"/>
    </w:rPr>
  </w:style>
  <w:style w:type="paragraph" w:styleId="TOCHeading">
    <w:name w:val="TOC Heading"/>
    <w:basedOn w:val="Heading1"/>
    <w:next w:val="Normal"/>
    <w:uiPriority w:val="39"/>
    <w:semiHidden/>
    <w:unhideWhenUsed/>
    <w:qFormat/>
    <w:rsid w:val="00AB4A0B"/>
    <w:pPr>
      <w:keepNext/>
      <w:keepLines/>
      <w:pBdr>
        <w:bottom w:val="none" w:sz="0" w:space="0" w:color="auto"/>
      </w:pBdr>
      <w:autoSpaceDE/>
      <w:autoSpaceDN/>
      <w:adjustRightInd/>
      <w:spacing w:before="480" w:after="0" w:line="276" w:lineRule="auto"/>
      <w:contextualSpacing w:val="0"/>
      <w:jc w:val="left"/>
      <w:textAlignment w:val="auto"/>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AB4A0B"/>
    <w:pPr>
      <w:spacing w:after="100"/>
    </w:pPr>
  </w:style>
  <w:style w:type="paragraph" w:styleId="TOC2">
    <w:name w:val="toc 2"/>
    <w:basedOn w:val="Normal"/>
    <w:next w:val="Normal"/>
    <w:autoRedefine/>
    <w:uiPriority w:val="39"/>
    <w:unhideWhenUsed/>
    <w:rsid w:val="00AB4A0B"/>
    <w:pPr>
      <w:spacing w:after="100"/>
      <w:ind w:left="200"/>
    </w:pPr>
  </w:style>
  <w:style w:type="paragraph" w:styleId="TOC3">
    <w:name w:val="toc 3"/>
    <w:basedOn w:val="Normal"/>
    <w:next w:val="Normal"/>
    <w:autoRedefine/>
    <w:uiPriority w:val="39"/>
    <w:unhideWhenUsed/>
    <w:rsid w:val="00AB4A0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B5429-CFD4-439C-A88A-7F0CBA97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122</cp:revision>
  <cp:lastPrinted>2014-09-23T13:12:00Z</cp:lastPrinted>
  <dcterms:created xsi:type="dcterms:W3CDTF">2013-06-14T19:23:00Z</dcterms:created>
  <dcterms:modified xsi:type="dcterms:W3CDTF">2014-09-23T13:12:00Z</dcterms:modified>
</cp:coreProperties>
</file>